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262"/>
        <w:gridCol w:w="7098"/>
      </w:tblGrid>
      <w:tr w:rsidR="00DA4439" w:rsidRPr="00DA4439" w14:paraId="2C140B78" w14:textId="77777777" w:rsidTr="000002C0">
        <w:tc>
          <w:tcPr>
            <w:tcW w:w="2291" w:type="dxa"/>
            <w:shd w:val="clear" w:color="auto" w:fill="D9E2F3"/>
          </w:tcPr>
          <w:p w14:paraId="2CA68F32" w14:textId="77777777" w:rsidR="00DA4439" w:rsidRPr="00DA4439" w:rsidRDefault="00DA4439" w:rsidP="00DA4439">
            <w:pPr>
              <w:widowControl w:val="0"/>
              <w:autoSpaceDE w:val="0"/>
              <w:autoSpaceDN w:val="0"/>
              <w:rPr>
                <w:rFonts w:ascii="Times New Roman" w:eastAsia="Times New Roman" w:hAnsi="Times New Roman" w:cs="Times New Roman"/>
                <w:sz w:val="24"/>
                <w:szCs w:val="24"/>
              </w:rPr>
            </w:pPr>
            <w:bookmarkStart w:id="0" w:name="_Hlk13733250"/>
          </w:p>
        </w:tc>
        <w:tc>
          <w:tcPr>
            <w:tcW w:w="7285" w:type="dxa"/>
            <w:shd w:val="clear" w:color="auto" w:fill="D9E2F3"/>
          </w:tcPr>
          <w:p w14:paraId="0CD03F2B" w14:textId="77777777" w:rsidR="00DA4439" w:rsidRPr="00DA4439" w:rsidRDefault="00DA4439" w:rsidP="00DA4439">
            <w:pPr>
              <w:widowControl w:val="0"/>
              <w:autoSpaceDE w:val="0"/>
              <w:autoSpaceDN w:val="0"/>
              <w:rPr>
                <w:rFonts w:ascii="Times New Roman" w:eastAsia="Times New Roman" w:hAnsi="Times New Roman" w:cs="Times New Roman"/>
                <w:sz w:val="24"/>
                <w:szCs w:val="24"/>
              </w:rPr>
            </w:pPr>
            <w:r w:rsidRPr="00DA4439">
              <w:rPr>
                <w:rFonts w:ascii="Times New Roman" w:eastAsia="Times New Roman" w:hAnsi="Times New Roman" w:cs="Times New Roman"/>
                <w:sz w:val="36"/>
                <w:szCs w:val="24"/>
              </w:rPr>
              <w:t>Maine’s secondary concentrator definition</w:t>
            </w:r>
          </w:p>
        </w:tc>
      </w:tr>
      <w:tr w:rsidR="00DA4439" w:rsidRPr="00DA4439" w14:paraId="3DD6D5B7" w14:textId="77777777" w:rsidTr="000002C0">
        <w:tc>
          <w:tcPr>
            <w:tcW w:w="2291" w:type="dxa"/>
          </w:tcPr>
          <w:p w14:paraId="1808D2F0" w14:textId="77777777" w:rsidR="00DA4439" w:rsidRPr="00DA4439" w:rsidRDefault="00DA4439" w:rsidP="00DA4439">
            <w:pPr>
              <w:widowControl w:val="0"/>
              <w:autoSpaceDE w:val="0"/>
              <w:autoSpaceDN w:val="0"/>
              <w:rPr>
                <w:rFonts w:ascii="Times New Roman" w:eastAsia="Times New Roman" w:hAnsi="Times New Roman" w:cs="Times New Roman"/>
                <w:sz w:val="24"/>
                <w:szCs w:val="24"/>
              </w:rPr>
            </w:pPr>
            <w:r w:rsidRPr="00DA4439">
              <w:rPr>
                <w:rFonts w:ascii="Times New Roman" w:eastAsia="Times New Roman" w:hAnsi="Times New Roman" w:cs="Times New Roman"/>
                <w:sz w:val="24"/>
                <w:szCs w:val="24"/>
              </w:rPr>
              <w:t xml:space="preserve">Federal CTE Secondary Concentrator definition </w:t>
            </w:r>
          </w:p>
          <w:p w14:paraId="2590FA96" w14:textId="77777777" w:rsidR="00DA4439" w:rsidRPr="00DA4439" w:rsidRDefault="00DA4439" w:rsidP="00DA4439">
            <w:pPr>
              <w:widowControl w:val="0"/>
              <w:autoSpaceDE w:val="0"/>
              <w:autoSpaceDN w:val="0"/>
              <w:rPr>
                <w:rFonts w:ascii="Times New Roman" w:eastAsia="Times New Roman" w:hAnsi="Times New Roman" w:cs="Times New Roman"/>
                <w:sz w:val="24"/>
                <w:szCs w:val="24"/>
              </w:rPr>
            </w:pPr>
          </w:p>
        </w:tc>
        <w:tc>
          <w:tcPr>
            <w:tcW w:w="7285" w:type="dxa"/>
          </w:tcPr>
          <w:p w14:paraId="45EA0536" w14:textId="77777777" w:rsidR="00DA4439" w:rsidRPr="00DA4439" w:rsidRDefault="00DA4439" w:rsidP="00DA4439">
            <w:pPr>
              <w:widowControl w:val="0"/>
              <w:autoSpaceDE w:val="0"/>
              <w:autoSpaceDN w:val="0"/>
              <w:rPr>
                <w:rFonts w:ascii="Times New Roman" w:eastAsia="Times New Roman" w:hAnsi="Times New Roman" w:cs="Times New Roman"/>
                <w:sz w:val="24"/>
                <w:szCs w:val="24"/>
              </w:rPr>
            </w:pPr>
            <w:r w:rsidRPr="00DA4439">
              <w:rPr>
                <w:rFonts w:ascii="Times New Roman" w:eastAsia="Times New Roman" w:hAnsi="Times New Roman" w:cs="Times New Roman"/>
                <w:sz w:val="24"/>
                <w:szCs w:val="24"/>
              </w:rPr>
              <w:t>‘‘CTE concentrator’’ means—at the secondary sc</w:t>
            </w:r>
            <w:bookmarkStart w:id="1" w:name="_GoBack"/>
            <w:bookmarkEnd w:id="1"/>
            <w:r w:rsidRPr="00DA4439">
              <w:rPr>
                <w:rFonts w:ascii="Times New Roman" w:eastAsia="Times New Roman" w:hAnsi="Times New Roman" w:cs="Times New Roman"/>
                <w:sz w:val="24"/>
                <w:szCs w:val="24"/>
              </w:rPr>
              <w:t>hool level, a student served by an eligible recipient who has completed at least 2 courses in a single career and technical education program or program of study</w:t>
            </w:r>
          </w:p>
        </w:tc>
      </w:tr>
      <w:tr w:rsidR="00DA4439" w:rsidRPr="00DA4439" w14:paraId="03FEE9A4" w14:textId="77777777" w:rsidTr="000002C0">
        <w:trPr>
          <w:trHeight w:val="80"/>
        </w:trPr>
        <w:tc>
          <w:tcPr>
            <w:tcW w:w="9576" w:type="dxa"/>
            <w:gridSpan w:val="2"/>
            <w:shd w:val="clear" w:color="auto" w:fill="0070C0"/>
          </w:tcPr>
          <w:p w14:paraId="75D192F0" w14:textId="77777777" w:rsidR="00DA4439" w:rsidRPr="00DA4439" w:rsidRDefault="00DA4439" w:rsidP="00DA4439">
            <w:pPr>
              <w:widowControl w:val="0"/>
              <w:autoSpaceDE w:val="0"/>
              <w:autoSpaceDN w:val="0"/>
              <w:rPr>
                <w:rFonts w:ascii="Times New Roman" w:eastAsia="Times New Roman" w:hAnsi="Times New Roman" w:cs="Times New Roman"/>
                <w:sz w:val="24"/>
                <w:szCs w:val="24"/>
              </w:rPr>
            </w:pPr>
          </w:p>
        </w:tc>
      </w:tr>
      <w:tr w:rsidR="00DA4439" w:rsidRPr="00DA4439" w14:paraId="3FB7E60F" w14:textId="77777777" w:rsidTr="000002C0">
        <w:tc>
          <w:tcPr>
            <w:tcW w:w="2291" w:type="dxa"/>
          </w:tcPr>
          <w:p w14:paraId="6555F425" w14:textId="77777777" w:rsidR="00DA4439" w:rsidRPr="00DA4439" w:rsidRDefault="00DA4439" w:rsidP="00DA4439">
            <w:pPr>
              <w:widowControl w:val="0"/>
              <w:autoSpaceDE w:val="0"/>
              <w:autoSpaceDN w:val="0"/>
              <w:rPr>
                <w:rFonts w:ascii="Times New Roman" w:eastAsia="Times New Roman" w:hAnsi="Times New Roman" w:cs="Times New Roman"/>
                <w:sz w:val="24"/>
                <w:szCs w:val="24"/>
              </w:rPr>
            </w:pPr>
            <w:r w:rsidRPr="00DA4439">
              <w:rPr>
                <w:rFonts w:ascii="Times New Roman" w:eastAsia="Times New Roman" w:hAnsi="Times New Roman" w:cs="Times New Roman"/>
                <w:sz w:val="24"/>
                <w:szCs w:val="24"/>
              </w:rPr>
              <w:t>Maine’s CTE Secondary equivalent of at least 2 courses in a program or program of study</w:t>
            </w:r>
          </w:p>
        </w:tc>
        <w:tc>
          <w:tcPr>
            <w:tcW w:w="7285" w:type="dxa"/>
          </w:tcPr>
          <w:p w14:paraId="2D8418CB" w14:textId="77777777" w:rsidR="00DA4439" w:rsidRPr="00DA4439" w:rsidRDefault="00DA4439" w:rsidP="00DA4439">
            <w:pPr>
              <w:widowControl w:val="0"/>
              <w:autoSpaceDE w:val="0"/>
              <w:autoSpaceDN w:val="0"/>
              <w:rPr>
                <w:rFonts w:ascii="Times New Roman" w:eastAsia="Times New Roman" w:hAnsi="Times New Roman" w:cs="Times New Roman"/>
                <w:sz w:val="24"/>
                <w:szCs w:val="24"/>
              </w:rPr>
            </w:pPr>
            <w:r w:rsidRPr="00DA4439">
              <w:rPr>
                <w:rFonts w:ascii="Times New Roman" w:eastAsia="Times New Roman" w:hAnsi="Times New Roman" w:cs="Times New Roman"/>
                <w:sz w:val="24"/>
                <w:szCs w:val="24"/>
              </w:rPr>
              <w:t>A Secondary CTE Concentrator is a student who has attended an approved secondary CTE program for one full school year.  In Maine an approved secondary CTE program is required to have 350 hours of instructional time per academic year.  This time requirement is the equivalent to a 3-course program that consists of 3 periods per day, 5 day a week for 175 school day.</w:t>
            </w:r>
          </w:p>
        </w:tc>
      </w:tr>
      <w:tr w:rsidR="00DA4439" w:rsidRPr="00DA4439" w14:paraId="120E83FB" w14:textId="77777777" w:rsidTr="000002C0">
        <w:tc>
          <w:tcPr>
            <w:tcW w:w="9576" w:type="dxa"/>
            <w:gridSpan w:val="2"/>
            <w:shd w:val="clear" w:color="auto" w:fill="0070C0"/>
          </w:tcPr>
          <w:p w14:paraId="0D019DC7" w14:textId="77777777" w:rsidR="00DA4439" w:rsidRPr="00DA4439" w:rsidRDefault="00DA4439" w:rsidP="00DA4439">
            <w:pPr>
              <w:widowControl w:val="0"/>
              <w:autoSpaceDE w:val="0"/>
              <w:autoSpaceDN w:val="0"/>
              <w:rPr>
                <w:rFonts w:ascii="Times New Roman" w:eastAsia="Times New Roman" w:hAnsi="Times New Roman" w:cs="Times New Roman"/>
                <w:sz w:val="24"/>
                <w:szCs w:val="24"/>
              </w:rPr>
            </w:pPr>
          </w:p>
        </w:tc>
      </w:tr>
      <w:tr w:rsidR="00DA4439" w:rsidRPr="00DA4439" w14:paraId="324EFB65" w14:textId="77777777" w:rsidTr="000002C0">
        <w:tc>
          <w:tcPr>
            <w:tcW w:w="2291" w:type="dxa"/>
          </w:tcPr>
          <w:p w14:paraId="51E9FFDC" w14:textId="77777777" w:rsidR="00DA4439" w:rsidRPr="00DA4439" w:rsidRDefault="00DA4439" w:rsidP="00DA4439">
            <w:pPr>
              <w:widowControl w:val="0"/>
              <w:autoSpaceDE w:val="0"/>
              <w:autoSpaceDN w:val="0"/>
              <w:rPr>
                <w:rFonts w:ascii="Times New Roman" w:eastAsia="Times New Roman" w:hAnsi="Times New Roman" w:cs="Times New Roman"/>
                <w:sz w:val="24"/>
                <w:szCs w:val="24"/>
              </w:rPr>
            </w:pPr>
            <w:r w:rsidRPr="00DA4439">
              <w:rPr>
                <w:rFonts w:ascii="Times New Roman" w:eastAsia="Times New Roman" w:hAnsi="Times New Roman" w:cs="Times New Roman"/>
                <w:sz w:val="24"/>
                <w:szCs w:val="24"/>
              </w:rPr>
              <w:t xml:space="preserve">Rational: </w:t>
            </w:r>
          </w:p>
          <w:p w14:paraId="1909864C" w14:textId="77777777" w:rsidR="00DA4439" w:rsidRPr="00DA4439" w:rsidRDefault="00DA4439" w:rsidP="00DA4439">
            <w:pPr>
              <w:widowControl w:val="0"/>
              <w:autoSpaceDE w:val="0"/>
              <w:autoSpaceDN w:val="0"/>
              <w:rPr>
                <w:rFonts w:ascii="Times New Roman" w:eastAsia="Times New Roman" w:hAnsi="Times New Roman" w:cs="Times New Roman"/>
                <w:sz w:val="24"/>
                <w:szCs w:val="24"/>
              </w:rPr>
            </w:pPr>
          </w:p>
        </w:tc>
        <w:tc>
          <w:tcPr>
            <w:tcW w:w="7285" w:type="dxa"/>
          </w:tcPr>
          <w:p w14:paraId="1D71D040" w14:textId="77777777" w:rsidR="00DA4439" w:rsidRPr="00DA4439" w:rsidRDefault="00DA4439" w:rsidP="00DA4439">
            <w:pPr>
              <w:widowControl w:val="0"/>
              <w:autoSpaceDE w:val="0"/>
              <w:autoSpaceDN w:val="0"/>
              <w:rPr>
                <w:rFonts w:ascii="Times New Roman" w:eastAsia="Times New Roman" w:hAnsi="Times New Roman" w:cs="Times New Roman"/>
                <w:sz w:val="24"/>
                <w:szCs w:val="24"/>
              </w:rPr>
            </w:pPr>
            <w:r w:rsidRPr="00DA4439">
              <w:rPr>
                <w:rFonts w:ascii="Times New Roman" w:eastAsia="Times New Roman" w:hAnsi="Times New Roman" w:cs="Times New Roman"/>
                <w:sz w:val="24"/>
                <w:szCs w:val="24"/>
              </w:rPr>
              <w:t>Maine Chapter 313: “Career and technical education” means a course or program of education designed to create or improve job-related skills that is part of a secondary school curriculum and approved by the commissioner according to this chapter. ... An approved sequence of rigorous career technical courses at the secondary level which prepare students for entry-level careers. Unless a waiver has been granted by the Commissioner of Education, each sequence is comprised of a minimum 350 hours for a 1-year program and 700 hours for a 2-year program and delivering the selected industry standard for the program area. Programs and standards are approved by the Commissioner of Education during the program application approval process. CTE programs also prepare students by providing the foundations for more advanced postsecondary training, as well as assisting students to complete relevant state academic standards.</w:t>
            </w:r>
          </w:p>
        </w:tc>
      </w:tr>
      <w:bookmarkEnd w:id="0"/>
    </w:tbl>
    <w:p w14:paraId="1B0F2ADC" w14:textId="77777777" w:rsidR="000002C0" w:rsidRDefault="000002C0">
      <w:r>
        <w:br w:type="page"/>
      </w:r>
    </w:p>
    <w:tbl>
      <w:tblPr>
        <w:tblW w:w="0" w:type="auto"/>
        <w:tblLook w:val="04A0" w:firstRow="1" w:lastRow="0" w:firstColumn="1" w:lastColumn="0" w:noHBand="0" w:noVBand="1"/>
      </w:tblPr>
      <w:tblGrid>
        <w:gridCol w:w="2256"/>
        <w:gridCol w:w="7104"/>
      </w:tblGrid>
      <w:tr w:rsidR="00DA4439" w:rsidRPr="00DA4439" w14:paraId="5AE4836E" w14:textId="77777777" w:rsidTr="000002C0">
        <w:tc>
          <w:tcPr>
            <w:tcW w:w="2291" w:type="dxa"/>
            <w:shd w:val="clear" w:color="auto" w:fill="E2EFD9"/>
          </w:tcPr>
          <w:p w14:paraId="2FEBF33E" w14:textId="77777777" w:rsidR="00DA4439" w:rsidRPr="00DA4439" w:rsidRDefault="00DA4439" w:rsidP="00DA4439">
            <w:pPr>
              <w:widowControl w:val="0"/>
              <w:autoSpaceDE w:val="0"/>
              <w:autoSpaceDN w:val="0"/>
              <w:rPr>
                <w:rFonts w:ascii="Times New Roman" w:eastAsia="Times New Roman" w:hAnsi="Times New Roman" w:cs="Times New Roman"/>
                <w:sz w:val="24"/>
                <w:szCs w:val="24"/>
              </w:rPr>
            </w:pPr>
          </w:p>
        </w:tc>
        <w:tc>
          <w:tcPr>
            <w:tcW w:w="7285" w:type="dxa"/>
            <w:shd w:val="clear" w:color="auto" w:fill="E2EFD9"/>
          </w:tcPr>
          <w:p w14:paraId="09DF69A5" w14:textId="77777777" w:rsidR="00DA4439" w:rsidRPr="00DA4439" w:rsidRDefault="00DA4439" w:rsidP="00DA4439">
            <w:pPr>
              <w:widowControl w:val="0"/>
              <w:autoSpaceDE w:val="0"/>
              <w:autoSpaceDN w:val="0"/>
              <w:rPr>
                <w:rFonts w:ascii="Times New Roman" w:eastAsia="Times New Roman" w:hAnsi="Times New Roman" w:cs="Times New Roman"/>
                <w:sz w:val="24"/>
                <w:szCs w:val="24"/>
              </w:rPr>
            </w:pPr>
            <w:r w:rsidRPr="00DA4439">
              <w:rPr>
                <w:rFonts w:ascii="Times New Roman" w:eastAsia="Times New Roman" w:hAnsi="Times New Roman" w:cs="Times New Roman"/>
                <w:sz w:val="32"/>
                <w:szCs w:val="24"/>
              </w:rPr>
              <w:t>Maine’s postsecondary concentrator definition</w:t>
            </w:r>
          </w:p>
        </w:tc>
      </w:tr>
      <w:tr w:rsidR="00DA4439" w:rsidRPr="00DA4439" w14:paraId="7E53D0C6" w14:textId="77777777" w:rsidTr="000002C0">
        <w:tc>
          <w:tcPr>
            <w:tcW w:w="2291" w:type="dxa"/>
          </w:tcPr>
          <w:p w14:paraId="0B92FE69" w14:textId="77777777" w:rsidR="00DA4439" w:rsidRPr="00DA4439" w:rsidRDefault="00DA4439" w:rsidP="00DA4439">
            <w:pPr>
              <w:widowControl w:val="0"/>
              <w:autoSpaceDE w:val="0"/>
              <w:autoSpaceDN w:val="0"/>
              <w:rPr>
                <w:rFonts w:ascii="Times New Roman" w:eastAsia="Times New Roman" w:hAnsi="Times New Roman" w:cs="Times New Roman"/>
                <w:sz w:val="24"/>
                <w:szCs w:val="24"/>
              </w:rPr>
            </w:pPr>
            <w:r w:rsidRPr="00DA4439">
              <w:rPr>
                <w:rFonts w:ascii="Times New Roman" w:eastAsia="Times New Roman" w:hAnsi="Times New Roman" w:cs="Times New Roman"/>
                <w:sz w:val="24"/>
                <w:szCs w:val="24"/>
              </w:rPr>
              <w:t xml:space="preserve">Federal CTE Postsecondary Concentrator definition </w:t>
            </w:r>
          </w:p>
          <w:p w14:paraId="2136C7C1" w14:textId="77777777" w:rsidR="00DA4439" w:rsidRPr="00DA4439" w:rsidRDefault="00DA4439" w:rsidP="00DA4439">
            <w:pPr>
              <w:widowControl w:val="0"/>
              <w:autoSpaceDE w:val="0"/>
              <w:autoSpaceDN w:val="0"/>
              <w:rPr>
                <w:rFonts w:ascii="Times New Roman" w:eastAsia="Times New Roman" w:hAnsi="Times New Roman" w:cs="Times New Roman"/>
                <w:sz w:val="24"/>
                <w:szCs w:val="24"/>
              </w:rPr>
            </w:pPr>
          </w:p>
        </w:tc>
        <w:tc>
          <w:tcPr>
            <w:tcW w:w="7285" w:type="dxa"/>
          </w:tcPr>
          <w:p w14:paraId="4D9A0723" w14:textId="77777777" w:rsidR="00DA4439" w:rsidRPr="00DA4439" w:rsidRDefault="00DA4439" w:rsidP="00DA4439">
            <w:pPr>
              <w:widowControl w:val="0"/>
              <w:autoSpaceDE w:val="0"/>
              <w:autoSpaceDN w:val="0"/>
              <w:rPr>
                <w:rFonts w:ascii="Times New Roman" w:eastAsia="Times New Roman" w:hAnsi="Times New Roman" w:cs="Times New Roman"/>
                <w:sz w:val="24"/>
                <w:szCs w:val="24"/>
              </w:rPr>
            </w:pPr>
            <w:r w:rsidRPr="00DA4439">
              <w:rPr>
                <w:rFonts w:ascii="Times New Roman" w:eastAsia="Times New Roman" w:hAnsi="Times New Roman" w:cs="Times New Roman"/>
                <w:sz w:val="24"/>
                <w:szCs w:val="24"/>
              </w:rPr>
              <w:t>‘‘CTE concentrator’’ means—</w:t>
            </w:r>
          </w:p>
          <w:p w14:paraId="2910A342" w14:textId="77777777" w:rsidR="00DA4439" w:rsidRPr="00DA4439" w:rsidRDefault="00DA4439" w:rsidP="00DA4439">
            <w:pPr>
              <w:widowControl w:val="0"/>
              <w:autoSpaceDE w:val="0"/>
              <w:autoSpaceDN w:val="0"/>
              <w:rPr>
                <w:rFonts w:ascii="Times New Roman" w:eastAsia="Times New Roman" w:hAnsi="Times New Roman" w:cs="Times New Roman"/>
                <w:sz w:val="24"/>
                <w:szCs w:val="24"/>
              </w:rPr>
            </w:pPr>
            <w:r w:rsidRPr="00DA4439">
              <w:rPr>
                <w:rFonts w:ascii="Times New Roman" w:eastAsia="Times New Roman" w:hAnsi="Times New Roman" w:cs="Times New Roman"/>
                <w:sz w:val="24"/>
                <w:szCs w:val="24"/>
              </w:rPr>
              <w:t>“at the postsecondary level, a student enrolled in an eligible recipient who has – (</w:t>
            </w:r>
            <w:proofErr w:type="spellStart"/>
            <w:r w:rsidRPr="00DA4439">
              <w:rPr>
                <w:rFonts w:ascii="Times New Roman" w:eastAsia="Times New Roman" w:hAnsi="Times New Roman" w:cs="Times New Roman"/>
                <w:sz w:val="24"/>
                <w:szCs w:val="24"/>
              </w:rPr>
              <w:t>i</w:t>
            </w:r>
            <w:proofErr w:type="spellEnd"/>
            <w:r w:rsidRPr="00DA4439">
              <w:rPr>
                <w:rFonts w:ascii="Times New Roman" w:eastAsia="Times New Roman" w:hAnsi="Times New Roman" w:cs="Times New Roman"/>
                <w:sz w:val="24"/>
                <w:szCs w:val="24"/>
              </w:rPr>
              <w:t>) earned at least 12 credits within a single career and technical education program or program of study; or (ii) completed such a program if the program encompasses fewer than 12 credits or the equivalent in total.”</w:t>
            </w:r>
          </w:p>
        </w:tc>
      </w:tr>
      <w:tr w:rsidR="00DA4439" w:rsidRPr="00DA4439" w14:paraId="0C201CA4" w14:textId="77777777" w:rsidTr="000002C0">
        <w:trPr>
          <w:trHeight w:val="80"/>
        </w:trPr>
        <w:tc>
          <w:tcPr>
            <w:tcW w:w="9576" w:type="dxa"/>
            <w:gridSpan w:val="2"/>
            <w:shd w:val="clear" w:color="auto" w:fill="538135"/>
          </w:tcPr>
          <w:p w14:paraId="707D25CD" w14:textId="77777777" w:rsidR="00DA4439" w:rsidRPr="00DA4439" w:rsidRDefault="00DA4439" w:rsidP="00DA4439">
            <w:pPr>
              <w:widowControl w:val="0"/>
              <w:autoSpaceDE w:val="0"/>
              <w:autoSpaceDN w:val="0"/>
              <w:rPr>
                <w:rFonts w:ascii="Times New Roman" w:eastAsia="Times New Roman" w:hAnsi="Times New Roman" w:cs="Times New Roman"/>
                <w:sz w:val="24"/>
                <w:szCs w:val="24"/>
              </w:rPr>
            </w:pPr>
          </w:p>
        </w:tc>
      </w:tr>
      <w:tr w:rsidR="00DA4439" w:rsidRPr="00DA4439" w14:paraId="595C1A96" w14:textId="77777777" w:rsidTr="000002C0">
        <w:trPr>
          <w:trHeight w:val="1114"/>
        </w:trPr>
        <w:tc>
          <w:tcPr>
            <w:tcW w:w="2291" w:type="dxa"/>
            <w:shd w:val="clear" w:color="auto" w:fill="auto"/>
          </w:tcPr>
          <w:p w14:paraId="46F77A19" w14:textId="77777777" w:rsidR="00DA4439" w:rsidRPr="00DA4439" w:rsidRDefault="00DA4439" w:rsidP="00DA4439">
            <w:pPr>
              <w:widowControl w:val="0"/>
              <w:autoSpaceDE w:val="0"/>
              <w:autoSpaceDN w:val="0"/>
              <w:rPr>
                <w:rFonts w:ascii="Times New Roman" w:eastAsia="Times New Roman" w:hAnsi="Times New Roman" w:cs="Times New Roman"/>
                <w:sz w:val="24"/>
                <w:szCs w:val="24"/>
              </w:rPr>
            </w:pPr>
            <w:r w:rsidRPr="00DA4439">
              <w:rPr>
                <w:rFonts w:ascii="Times New Roman" w:eastAsia="Times New Roman" w:hAnsi="Times New Roman" w:cs="Times New Roman"/>
                <w:sz w:val="24"/>
                <w:szCs w:val="24"/>
              </w:rPr>
              <w:t>Maine’s CTE Postsecondary equivalent of at least 2 courses in a program or program of study</w:t>
            </w:r>
          </w:p>
        </w:tc>
        <w:tc>
          <w:tcPr>
            <w:tcW w:w="7285" w:type="dxa"/>
            <w:shd w:val="clear" w:color="auto" w:fill="auto"/>
          </w:tcPr>
          <w:p w14:paraId="1F13E59A" w14:textId="77777777" w:rsidR="00DA4439" w:rsidRPr="00DA4439" w:rsidRDefault="00DA4439" w:rsidP="00DA4439">
            <w:pPr>
              <w:widowControl w:val="0"/>
              <w:autoSpaceDE w:val="0"/>
              <w:autoSpaceDN w:val="0"/>
              <w:rPr>
                <w:rFonts w:ascii="Times New Roman" w:eastAsia="Times New Roman" w:hAnsi="Times New Roman" w:cs="Times New Roman"/>
                <w:sz w:val="24"/>
                <w:szCs w:val="24"/>
              </w:rPr>
            </w:pPr>
            <w:r w:rsidRPr="00DA4439">
              <w:rPr>
                <w:rFonts w:ascii="Times New Roman" w:eastAsia="Times New Roman" w:hAnsi="Times New Roman" w:cs="Times New Roman"/>
                <w:sz w:val="24"/>
                <w:szCs w:val="24"/>
              </w:rPr>
              <w:t>A postsecondary CTE Concentrator is a student who has – (</w:t>
            </w:r>
            <w:proofErr w:type="spellStart"/>
            <w:r w:rsidRPr="00DA4439">
              <w:rPr>
                <w:rFonts w:ascii="Times New Roman" w:eastAsia="Times New Roman" w:hAnsi="Times New Roman" w:cs="Times New Roman"/>
                <w:sz w:val="24"/>
                <w:szCs w:val="24"/>
              </w:rPr>
              <w:t>i</w:t>
            </w:r>
            <w:proofErr w:type="spellEnd"/>
            <w:r w:rsidRPr="00DA4439">
              <w:rPr>
                <w:rFonts w:ascii="Times New Roman" w:eastAsia="Times New Roman" w:hAnsi="Times New Roman" w:cs="Times New Roman"/>
                <w:sz w:val="24"/>
                <w:szCs w:val="24"/>
              </w:rPr>
              <w:t>) earned at least 12 credits within a single career and technical program or program of study comprised of 12 or more academic and technical credits that terminates in the award of an industry-recognized credential, including certificates and degrees; or (ii) completed such a program if the program encompasses fewer than 12 credits or the equivalent in total.</w:t>
            </w:r>
          </w:p>
        </w:tc>
      </w:tr>
      <w:tr w:rsidR="00DA4439" w:rsidRPr="00DA4439" w14:paraId="4772F3D0" w14:textId="77777777" w:rsidTr="000002C0">
        <w:tc>
          <w:tcPr>
            <w:tcW w:w="9576" w:type="dxa"/>
            <w:gridSpan w:val="2"/>
            <w:shd w:val="clear" w:color="auto" w:fill="538135"/>
          </w:tcPr>
          <w:p w14:paraId="3D74DDEF" w14:textId="77777777" w:rsidR="00DA4439" w:rsidRPr="00DA4439" w:rsidRDefault="00DA4439" w:rsidP="00DA4439">
            <w:pPr>
              <w:widowControl w:val="0"/>
              <w:autoSpaceDE w:val="0"/>
              <w:autoSpaceDN w:val="0"/>
              <w:rPr>
                <w:rFonts w:ascii="Times New Roman" w:eastAsia="Times New Roman" w:hAnsi="Times New Roman" w:cs="Times New Roman"/>
                <w:sz w:val="24"/>
                <w:szCs w:val="24"/>
              </w:rPr>
            </w:pPr>
          </w:p>
        </w:tc>
      </w:tr>
      <w:tr w:rsidR="00DA4439" w:rsidRPr="00DA4439" w14:paraId="57C7254B" w14:textId="77777777" w:rsidTr="000002C0">
        <w:tc>
          <w:tcPr>
            <w:tcW w:w="2291" w:type="dxa"/>
          </w:tcPr>
          <w:p w14:paraId="2000522C" w14:textId="77777777" w:rsidR="00DA4439" w:rsidRPr="00DA4439" w:rsidRDefault="00DA4439" w:rsidP="00DA4439">
            <w:pPr>
              <w:widowControl w:val="0"/>
              <w:autoSpaceDE w:val="0"/>
              <w:autoSpaceDN w:val="0"/>
              <w:rPr>
                <w:rFonts w:ascii="Times New Roman" w:eastAsia="Times New Roman" w:hAnsi="Times New Roman" w:cs="Times New Roman"/>
                <w:sz w:val="24"/>
                <w:szCs w:val="24"/>
              </w:rPr>
            </w:pPr>
            <w:r w:rsidRPr="00DA4439">
              <w:rPr>
                <w:rFonts w:ascii="Times New Roman" w:eastAsia="Times New Roman" w:hAnsi="Times New Roman" w:cs="Times New Roman"/>
                <w:sz w:val="24"/>
                <w:szCs w:val="24"/>
              </w:rPr>
              <w:t xml:space="preserve">Rational: </w:t>
            </w:r>
          </w:p>
          <w:p w14:paraId="475D3322" w14:textId="77777777" w:rsidR="00DA4439" w:rsidRPr="00DA4439" w:rsidRDefault="00DA4439" w:rsidP="00DA4439">
            <w:pPr>
              <w:widowControl w:val="0"/>
              <w:autoSpaceDE w:val="0"/>
              <w:autoSpaceDN w:val="0"/>
              <w:rPr>
                <w:rFonts w:ascii="Times New Roman" w:eastAsia="Times New Roman" w:hAnsi="Times New Roman" w:cs="Times New Roman"/>
                <w:sz w:val="24"/>
                <w:szCs w:val="24"/>
              </w:rPr>
            </w:pPr>
          </w:p>
        </w:tc>
        <w:tc>
          <w:tcPr>
            <w:tcW w:w="7285" w:type="dxa"/>
          </w:tcPr>
          <w:p w14:paraId="5D7F6E53" w14:textId="77777777" w:rsidR="00DA4439" w:rsidRPr="00DA4439" w:rsidRDefault="00DA4439" w:rsidP="00DA4439">
            <w:pPr>
              <w:widowControl w:val="0"/>
              <w:autoSpaceDE w:val="0"/>
              <w:autoSpaceDN w:val="0"/>
              <w:rPr>
                <w:rFonts w:ascii="Times New Roman" w:eastAsia="Times New Roman" w:hAnsi="Times New Roman" w:cs="Times New Roman"/>
                <w:sz w:val="24"/>
                <w:szCs w:val="24"/>
              </w:rPr>
            </w:pPr>
            <w:r w:rsidRPr="00DA4439">
              <w:rPr>
                <w:rFonts w:ascii="Times New Roman" w:eastAsia="Times New Roman" w:hAnsi="Times New Roman" w:cs="Times New Roman"/>
                <w:sz w:val="24"/>
                <w:szCs w:val="24"/>
              </w:rPr>
              <w:t>Inclusion of academic and technical credits to clarify that the credits earned may include all types of credit required for the completion of the credential. Added possible resulting credentials to ensure industry relevance.</w:t>
            </w:r>
          </w:p>
          <w:p w14:paraId="7CB85139" w14:textId="77777777" w:rsidR="00DA4439" w:rsidRPr="00DA4439" w:rsidRDefault="00DA4439" w:rsidP="00DA4439">
            <w:pPr>
              <w:widowControl w:val="0"/>
              <w:autoSpaceDE w:val="0"/>
              <w:autoSpaceDN w:val="0"/>
              <w:rPr>
                <w:rFonts w:ascii="Times New Roman" w:eastAsia="Times New Roman" w:hAnsi="Times New Roman" w:cs="Times New Roman"/>
                <w:sz w:val="24"/>
                <w:szCs w:val="24"/>
              </w:rPr>
            </w:pPr>
          </w:p>
          <w:p w14:paraId="4610E733" w14:textId="77777777" w:rsidR="00DA4439" w:rsidRPr="00DA4439" w:rsidRDefault="00DA4439" w:rsidP="00DA4439">
            <w:pPr>
              <w:widowControl w:val="0"/>
              <w:autoSpaceDE w:val="0"/>
              <w:autoSpaceDN w:val="0"/>
              <w:rPr>
                <w:rFonts w:ascii="Times New Roman" w:eastAsia="Times New Roman" w:hAnsi="Times New Roman" w:cs="Times New Roman"/>
                <w:sz w:val="24"/>
                <w:szCs w:val="24"/>
              </w:rPr>
            </w:pPr>
            <w:r w:rsidRPr="00DA4439">
              <w:rPr>
                <w:rFonts w:ascii="Times New Roman" w:eastAsia="Times New Roman" w:hAnsi="Times New Roman" w:cs="Times New Roman"/>
                <w:sz w:val="24"/>
                <w:szCs w:val="24"/>
              </w:rPr>
              <w:t xml:space="preserve">College degree credit hours are based on the number </w:t>
            </w:r>
            <w:proofErr w:type="gramStart"/>
            <w:r w:rsidRPr="00DA4439">
              <w:rPr>
                <w:rFonts w:ascii="Times New Roman" w:eastAsia="Times New Roman" w:hAnsi="Times New Roman" w:cs="Times New Roman"/>
                <w:sz w:val="24"/>
                <w:szCs w:val="24"/>
              </w:rPr>
              <w:t>of  student</w:t>
            </w:r>
            <w:proofErr w:type="gramEnd"/>
            <w:r w:rsidRPr="00DA4439">
              <w:rPr>
                <w:rFonts w:ascii="Times New Roman" w:eastAsia="Times New Roman" w:hAnsi="Times New Roman" w:cs="Times New Roman"/>
                <w:sz w:val="24"/>
                <w:szCs w:val="24"/>
              </w:rPr>
              <w:t xml:space="preserve"> contact hours. A contact hour includes any lecture or lab time when the professor is teaching the student or coaching the student while they apply the course information to an activity. Most courses are 3 credit hours per week for 15 weeks. Based on Maine Community College System Policy 302:</w:t>
            </w:r>
          </w:p>
          <w:p w14:paraId="11827429" w14:textId="77777777" w:rsidR="00DA4439" w:rsidRPr="00DA4439" w:rsidRDefault="00DA4439" w:rsidP="00DA4439">
            <w:pPr>
              <w:widowControl w:val="0"/>
              <w:autoSpaceDE w:val="0"/>
              <w:autoSpaceDN w:val="0"/>
              <w:ind w:left="90" w:firstLine="24"/>
              <w:rPr>
                <w:rFonts w:ascii="Times New Roman" w:eastAsia="Times New Roman" w:hAnsi="Times New Roman" w:cs="Times New Roman"/>
                <w:sz w:val="24"/>
                <w:szCs w:val="24"/>
              </w:rPr>
            </w:pPr>
            <w:r w:rsidRPr="00DA4439">
              <w:rPr>
                <w:rFonts w:ascii="Times New Roman" w:eastAsia="Times New Roman" w:hAnsi="Times New Roman" w:cs="Times New Roman"/>
                <w:sz w:val="24"/>
                <w:szCs w:val="24"/>
              </w:rPr>
              <w:t xml:space="preserve">A </w:t>
            </w:r>
            <w:r w:rsidRPr="00DA4439">
              <w:rPr>
                <w:rFonts w:ascii="Times New Roman" w:eastAsia="Times New Roman" w:hAnsi="Times New Roman" w:cs="Times New Roman"/>
                <w:b/>
                <w:sz w:val="24"/>
                <w:szCs w:val="24"/>
              </w:rPr>
              <w:t>certificate</w:t>
            </w:r>
            <w:r w:rsidRPr="00DA4439">
              <w:rPr>
                <w:rFonts w:ascii="Times New Roman" w:eastAsia="Times New Roman" w:hAnsi="Times New Roman" w:cs="Times New Roman"/>
                <w:sz w:val="24"/>
                <w:szCs w:val="24"/>
              </w:rPr>
              <w:t xml:space="preserve"> is awarded upon the successful completion of a prescribed program of vocational and/or technical courses that leads to an occupational skill and includes the following:</w:t>
            </w:r>
          </w:p>
          <w:p w14:paraId="54AEFA32" w14:textId="77777777" w:rsidR="00DA4439" w:rsidRPr="00DA4439" w:rsidRDefault="00DA4439" w:rsidP="00DA4439">
            <w:pPr>
              <w:widowControl w:val="0"/>
              <w:numPr>
                <w:ilvl w:val="1"/>
                <w:numId w:val="2"/>
              </w:numPr>
              <w:autoSpaceDE w:val="0"/>
              <w:autoSpaceDN w:val="0"/>
              <w:rPr>
                <w:rFonts w:ascii="Times New Roman" w:eastAsia="Times New Roman" w:hAnsi="Times New Roman" w:cs="Times New Roman"/>
                <w:sz w:val="24"/>
                <w:szCs w:val="24"/>
              </w:rPr>
            </w:pPr>
            <w:r w:rsidRPr="00DA4439">
              <w:rPr>
                <w:rFonts w:ascii="Times New Roman" w:eastAsia="Times New Roman" w:hAnsi="Times New Roman" w:cs="Times New Roman"/>
                <w:sz w:val="24"/>
                <w:szCs w:val="24"/>
              </w:rPr>
              <w:t>16 to 36 credit hours of coursework, including appropriate related and/or general education courses as specified by the program;</w:t>
            </w:r>
          </w:p>
          <w:p w14:paraId="57C13DEF" w14:textId="77777777" w:rsidR="00DA4439" w:rsidRPr="00DA4439" w:rsidRDefault="00DA4439" w:rsidP="00DA4439">
            <w:pPr>
              <w:widowControl w:val="0"/>
              <w:numPr>
                <w:ilvl w:val="1"/>
                <w:numId w:val="2"/>
              </w:numPr>
              <w:autoSpaceDE w:val="0"/>
              <w:autoSpaceDN w:val="0"/>
              <w:rPr>
                <w:rFonts w:ascii="Times New Roman" w:eastAsia="Times New Roman" w:hAnsi="Times New Roman" w:cs="Times New Roman"/>
                <w:sz w:val="24"/>
                <w:szCs w:val="24"/>
              </w:rPr>
            </w:pPr>
            <w:r w:rsidRPr="00DA4439">
              <w:rPr>
                <w:rFonts w:ascii="Times New Roman" w:eastAsia="Times New Roman" w:hAnsi="Times New Roman" w:cs="Times New Roman"/>
                <w:sz w:val="24"/>
                <w:szCs w:val="24"/>
              </w:rPr>
              <w:t>Demonstrated competence in mathematics and communication skills at a level consistent with the requirements of the program. This competency may be demonstrated either by satisfactory performance on prescribed academic assessment tests or by completing required communications and mathematics courses; and</w:t>
            </w:r>
          </w:p>
          <w:p w14:paraId="2B71D7A3" w14:textId="77777777" w:rsidR="00DA4439" w:rsidRPr="00DA4439" w:rsidRDefault="00DA4439" w:rsidP="00DA4439">
            <w:pPr>
              <w:widowControl w:val="0"/>
              <w:numPr>
                <w:ilvl w:val="1"/>
                <w:numId w:val="2"/>
              </w:numPr>
              <w:autoSpaceDE w:val="0"/>
              <w:autoSpaceDN w:val="0"/>
              <w:rPr>
                <w:rFonts w:ascii="Times New Roman" w:eastAsia="Times New Roman" w:hAnsi="Times New Roman" w:cs="Times New Roman"/>
                <w:sz w:val="24"/>
                <w:szCs w:val="24"/>
              </w:rPr>
            </w:pPr>
            <w:r w:rsidRPr="00DA4439">
              <w:rPr>
                <w:rFonts w:ascii="Times New Roman" w:eastAsia="Times New Roman" w:hAnsi="Times New Roman" w:cs="Times New Roman"/>
                <w:sz w:val="24"/>
                <w:szCs w:val="24"/>
              </w:rPr>
              <w:t>Achievement of a minimum cumulative grade point average of 2.0.</w:t>
            </w:r>
          </w:p>
          <w:p w14:paraId="496A4B93" w14:textId="77777777" w:rsidR="00DA4439" w:rsidRPr="00DA4439" w:rsidRDefault="00DA4439" w:rsidP="00DA4439">
            <w:pPr>
              <w:widowControl w:val="0"/>
              <w:numPr>
                <w:ilvl w:val="1"/>
                <w:numId w:val="2"/>
              </w:numPr>
              <w:autoSpaceDE w:val="0"/>
              <w:autoSpaceDN w:val="0"/>
              <w:rPr>
                <w:rFonts w:ascii="Times New Roman" w:eastAsia="Times New Roman" w:hAnsi="Times New Roman" w:cs="Times New Roman"/>
                <w:sz w:val="24"/>
                <w:szCs w:val="24"/>
              </w:rPr>
            </w:pPr>
            <w:r w:rsidRPr="00DA4439">
              <w:rPr>
                <w:rFonts w:ascii="Times New Roman" w:eastAsia="Times New Roman" w:hAnsi="Times New Roman" w:cs="Times New Roman"/>
                <w:sz w:val="24"/>
                <w:szCs w:val="24"/>
              </w:rPr>
              <w:t>Includes in the core curriculum a minimum of 25% of the credits that differentiate the program and build knowledge depth in an area of focus of the program.</w:t>
            </w:r>
          </w:p>
          <w:p w14:paraId="0DE22B8F" w14:textId="77777777" w:rsidR="00DA4439" w:rsidRPr="00DA4439" w:rsidRDefault="00DA4439" w:rsidP="00DA4439">
            <w:pPr>
              <w:widowControl w:val="0"/>
              <w:autoSpaceDE w:val="0"/>
              <w:autoSpaceDN w:val="0"/>
              <w:ind w:left="90" w:firstLine="24"/>
              <w:rPr>
                <w:rFonts w:ascii="Times New Roman" w:eastAsia="Times New Roman" w:hAnsi="Times New Roman" w:cs="Times New Roman"/>
                <w:sz w:val="24"/>
                <w:szCs w:val="24"/>
              </w:rPr>
            </w:pPr>
            <w:r w:rsidRPr="00DA4439">
              <w:rPr>
                <w:rFonts w:ascii="Times New Roman" w:eastAsia="Times New Roman" w:hAnsi="Times New Roman" w:cs="Times New Roman"/>
                <w:sz w:val="24"/>
                <w:szCs w:val="24"/>
              </w:rPr>
              <w:t xml:space="preserve">An </w:t>
            </w:r>
            <w:r w:rsidRPr="00DA4439">
              <w:rPr>
                <w:rFonts w:ascii="Times New Roman" w:eastAsia="Times New Roman" w:hAnsi="Times New Roman" w:cs="Times New Roman"/>
                <w:b/>
                <w:sz w:val="24"/>
                <w:szCs w:val="24"/>
              </w:rPr>
              <w:t>Associate in Applied Science</w:t>
            </w:r>
            <w:r w:rsidRPr="00DA4439">
              <w:rPr>
                <w:rFonts w:ascii="Times New Roman" w:eastAsia="Times New Roman" w:hAnsi="Times New Roman" w:cs="Times New Roman"/>
                <w:sz w:val="24"/>
                <w:szCs w:val="24"/>
              </w:rPr>
              <w:t xml:space="preserve"> credential is awarded upon the successful completion of a program designed for employment in a </w:t>
            </w:r>
            <w:r w:rsidRPr="00DA4439">
              <w:rPr>
                <w:rFonts w:ascii="Times New Roman" w:eastAsia="Times New Roman" w:hAnsi="Times New Roman" w:cs="Times New Roman"/>
                <w:sz w:val="24"/>
                <w:szCs w:val="24"/>
              </w:rPr>
              <w:lastRenderedPageBreak/>
              <w:t xml:space="preserve">specific occupation or to upgrade skills to improve the opportunity for advancement within an existing position. The approximate number of credit hours is 68. </w:t>
            </w:r>
          </w:p>
          <w:p w14:paraId="38ADC8AB" w14:textId="77777777" w:rsidR="00DA4439" w:rsidRPr="00DA4439" w:rsidRDefault="00DA4439" w:rsidP="00DA4439">
            <w:pPr>
              <w:widowControl w:val="0"/>
              <w:numPr>
                <w:ilvl w:val="2"/>
                <w:numId w:val="3"/>
              </w:numPr>
              <w:autoSpaceDE w:val="0"/>
              <w:autoSpaceDN w:val="0"/>
              <w:ind w:left="900"/>
              <w:rPr>
                <w:rFonts w:ascii="Times New Roman" w:eastAsia="Times New Roman" w:hAnsi="Times New Roman" w:cs="Times New Roman"/>
                <w:sz w:val="24"/>
                <w:szCs w:val="24"/>
              </w:rPr>
            </w:pPr>
            <w:r w:rsidRPr="00DA4439">
              <w:rPr>
                <w:rFonts w:ascii="Times New Roman" w:eastAsia="Times New Roman" w:hAnsi="Times New Roman" w:cs="Times New Roman"/>
                <w:sz w:val="24"/>
                <w:szCs w:val="24"/>
              </w:rPr>
              <w:t>General Education</w:t>
            </w:r>
          </w:p>
          <w:p w14:paraId="7DF8190A" w14:textId="77777777" w:rsidR="00DA4439" w:rsidRPr="00DA4439" w:rsidRDefault="00DA4439" w:rsidP="00DA4439">
            <w:pPr>
              <w:widowControl w:val="0"/>
              <w:numPr>
                <w:ilvl w:val="4"/>
                <w:numId w:val="3"/>
              </w:numPr>
              <w:autoSpaceDE w:val="0"/>
              <w:autoSpaceDN w:val="0"/>
              <w:ind w:left="1260"/>
              <w:rPr>
                <w:rFonts w:ascii="Times New Roman" w:eastAsia="Times New Roman" w:hAnsi="Times New Roman" w:cs="Times New Roman"/>
                <w:sz w:val="24"/>
                <w:szCs w:val="24"/>
              </w:rPr>
            </w:pPr>
            <w:r w:rsidRPr="00DA4439">
              <w:rPr>
                <w:rFonts w:ascii="Times New Roman" w:eastAsia="Times New Roman" w:hAnsi="Times New Roman" w:cs="Times New Roman"/>
                <w:sz w:val="24"/>
                <w:szCs w:val="24"/>
              </w:rPr>
              <w:t>Writing 6 credits</w:t>
            </w:r>
          </w:p>
          <w:p w14:paraId="31E59B6E" w14:textId="77777777" w:rsidR="00DA4439" w:rsidRPr="00DA4439" w:rsidRDefault="00DA4439" w:rsidP="00DA4439">
            <w:pPr>
              <w:widowControl w:val="0"/>
              <w:numPr>
                <w:ilvl w:val="4"/>
                <w:numId w:val="3"/>
              </w:numPr>
              <w:autoSpaceDE w:val="0"/>
              <w:autoSpaceDN w:val="0"/>
              <w:ind w:left="1260"/>
              <w:rPr>
                <w:rFonts w:ascii="Times New Roman" w:eastAsia="Times New Roman" w:hAnsi="Times New Roman" w:cs="Times New Roman"/>
                <w:sz w:val="24"/>
                <w:szCs w:val="24"/>
              </w:rPr>
            </w:pPr>
            <w:r w:rsidRPr="00DA4439">
              <w:rPr>
                <w:rFonts w:ascii="Times New Roman" w:eastAsia="Times New Roman" w:hAnsi="Times New Roman" w:cs="Times New Roman"/>
                <w:sz w:val="24"/>
                <w:szCs w:val="24"/>
              </w:rPr>
              <w:t>Quantitative Literacy/Natural Science 6-7 credits</w:t>
            </w:r>
          </w:p>
          <w:p w14:paraId="50889C1C" w14:textId="77777777" w:rsidR="00DA4439" w:rsidRPr="00DA4439" w:rsidRDefault="00DA4439" w:rsidP="00DA4439">
            <w:pPr>
              <w:widowControl w:val="0"/>
              <w:numPr>
                <w:ilvl w:val="4"/>
                <w:numId w:val="3"/>
              </w:numPr>
              <w:autoSpaceDE w:val="0"/>
              <w:autoSpaceDN w:val="0"/>
              <w:ind w:left="1260"/>
              <w:rPr>
                <w:rFonts w:ascii="Times New Roman" w:eastAsia="Times New Roman" w:hAnsi="Times New Roman" w:cs="Times New Roman"/>
                <w:sz w:val="24"/>
                <w:szCs w:val="24"/>
              </w:rPr>
            </w:pPr>
            <w:r w:rsidRPr="00DA4439">
              <w:rPr>
                <w:rFonts w:ascii="Times New Roman" w:eastAsia="Times New Roman" w:hAnsi="Times New Roman" w:cs="Times New Roman"/>
                <w:sz w:val="24"/>
                <w:szCs w:val="24"/>
              </w:rPr>
              <w:t>Creative Arts/Humanities/Social Science 6 credits</w:t>
            </w:r>
          </w:p>
          <w:p w14:paraId="23D9AD26" w14:textId="77777777" w:rsidR="00DA4439" w:rsidRPr="00DA4439" w:rsidRDefault="00DA4439" w:rsidP="00DA4439">
            <w:pPr>
              <w:widowControl w:val="0"/>
              <w:numPr>
                <w:ilvl w:val="4"/>
                <w:numId w:val="3"/>
              </w:numPr>
              <w:autoSpaceDE w:val="0"/>
              <w:autoSpaceDN w:val="0"/>
              <w:ind w:left="1260"/>
              <w:rPr>
                <w:rFonts w:ascii="Times New Roman" w:eastAsia="Times New Roman" w:hAnsi="Times New Roman" w:cs="Times New Roman"/>
                <w:sz w:val="24"/>
                <w:szCs w:val="24"/>
              </w:rPr>
            </w:pPr>
            <w:r w:rsidRPr="00DA4439">
              <w:rPr>
                <w:rFonts w:ascii="Times New Roman" w:eastAsia="Times New Roman" w:hAnsi="Times New Roman" w:cs="Times New Roman"/>
                <w:sz w:val="24"/>
                <w:szCs w:val="24"/>
              </w:rPr>
              <w:t>Any General Education Elective 3 credits</w:t>
            </w:r>
          </w:p>
          <w:p w14:paraId="70D44F83" w14:textId="77777777" w:rsidR="00DA4439" w:rsidRPr="00DA4439" w:rsidRDefault="00DA4439" w:rsidP="00DA4439">
            <w:pPr>
              <w:widowControl w:val="0"/>
              <w:numPr>
                <w:ilvl w:val="2"/>
                <w:numId w:val="3"/>
              </w:numPr>
              <w:autoSpaceDE w:val="0"/>
              <w:autoSpaceDN w:val="0"/>
              <w:ind w:left="900"/>
              <w:rPr>
                <w:rFonts w:ascii="Times New Roman" w:eastAsia="Times New Roman" w:hAnsi="Times New Roman" w:cs="Times New Roman"/>
                <w:sz w:val="24"/>
                <w:szCs w:val="24"/>
              </w:rPr>
            </w:pPr>
            <w:r w:rsidRPr="00DA4439">
              <w:rPr>
                <w:rFonts w:ascii="Times New Roman" w:eastAsia="Times New Roman" w:hAnsi="Times New Roman" w:cs="Times New Roman"/>
                <w:sz w:val="24"/>
                <w:szCs w:val="24"/>
              </w:rPr>
              <w:t>Program Core up to 34 credits</w:t>
            </w:r>
          </w:p>
          <w:p w14:paraId="1BFB4416" w14:textId="77777777" w:rsidR="00DA4439" w:rsidRPr="00DA4439" w:rsidRDefault="00DA4439" w:rsidP="00DA4439">
            <w:pPr>
              <w:widowControl w:val="0"/>
              <w:numPr>
                <w:ilvl w:val="1"/>
                <w:numId w:val="3"/>
              </w:numPr>
              <w:autoSpaceDE w:val="0"/>
              <w:autoSpaceDN w:val="0"/>
              <w:ind w:left="900"/>
              <w:rPr>
                <w:rFonts w:ascii="Times New Roman" w:eastAsia="Times New Roman" w:hAnsi="Times New Roman" w:cs="Times New Roman"/>
                <w:sz w:val="24"/>
                <w:szCs w:val="24"/>
              </w:rPr>
            </w:pPr>
            <w:r w:rsidRPr="00DA4439">
              <w:rPr>
                <w:rFonts w:ascii="Times New Roman" w:eastAsia="Times New Roman" w:hAnsi="Times New Roman" w:cs="Times New Roman"/>
                <w:sz w:val="24"/>
                <w:szCs w:val="24"/>
              </w:rPr>
              <w:t>Minimum Cumulative Grade Point Average 2.0.</w:t>
            </w:r>
          </w:p>
          <w:p w14:paraId="116FBE43" w14:textId="77777777" w:rsidR="00DA4439" w:rsidRPr="00DA4439" w:rsidRDefault="00DA4439" w:rsidP="00DA4439">
            <w:pPr>
              <w:widowControl w:val="0"/>
              <w:autoSpaceDE w:val="0"/>
              <w:autoSpaceDN w:val="0"/>
              <w:ind w:left="90" w:firstLine="24"/>
              <w:rPr>
                <w:rFonts w:ascii="Times New Roman" w:eastAsia="Times New Roman" w:hAnsi="Times New Roman" w:cs="Times New Roman"/>
                <w:sz w:val="24"/>
                <w:szCs w:val="24"/>
              </w:rPr>
            </w:pPr>
            <w:r w:rsidRPr="00DA4439">
              <w:rPr>
                <w:rFonts w:ascii="Times New Roman" w:eastAsia="Times New Roman" w:hAnsi="Times New Roman" w:cs="Times New Roman"/>
                <w:sz w:val="24"/>
                <w:szCs w:val="24"/>
              </w:rPr>
              <w:t xml:space="preserve">An </w:t>
            </w:r>
            <w:r w:rsidRPr="00DA4439">
              <w:rPr>
                <w:rFonts w:ascii="Times New Roman" w:eastAsia="Times New Roman" w:hAnsi="Times New Roman" w:cs="Times New Roman"/>
                <w:b/>
                <w:sz w:val="24"/>
                <w:szCs w:val="24"/>
              </w:rPr>
              <w:t>Associate in Science</w:t>
            </w:r>
            <w:r w:rsidRPr="00DA4439">
              <w:rPr>
                <w:rFonts w:ascii="Times New Roman" w:eastAsia="Times New Roman" w:hAnsi="Times New Roman" w:cs="Times New Roman"/>
                <w:sz w:val="24"/>
                <w:szCs w:val="24"/>
              </w:rPr>
              <w:t xml:space="preserve"> credential is awarded upon the successful completion of a program designed primarily to prepare students to transfer to an upper division baccalaureate program with an emphasis in math and/or science. </w:t>
            </w:r>
          </w:p>
          <w:p w14:paraId="06E2C1A5" w14:textId="77777777" w:rsidR="00DA4439" w:rsidRPr="00DA4439" w:rsidRDefault="00DA4439" w:rsidP="00DA4439">
            <w:pPr>
              <w:widowControl w:val="0"/>
              <w:numPr>
                <w:ilvl w:val="2"/>
                <w:numId w:val="4"/>
              </w:numPr>
              <w:autoSpaceDE w:val="0"/>
              <w:autoSpaceDN w:val="0"/>
              <w:ind w:left="900"/>
              <w:rPr>
                <w:rFonts w:ascii="Times New Roman" w:eastAsia="Times New Roman" w:hAnsi="Times New Roman" w:cs="Times New Roman"/>
                <w:sz w:val="24"/>
                <w:szCs w:val="24"/>
              </w:rPr>
            </w:pPr>
            <w:r w:rsidRPr="00DA4439">
              <w:rPr>
                <w:rFonts w:ascii="Times New Roman" w:eastAsia="Times New Roman" w:hAnsi="Times New Roman" w:cs="Times New Roman"/>
                <w:sz w:val="24"/>
                <w:szCs w:val="24"/>
              </w:rPr>
              <w:t>General Education</w:t>
            </w:r>
          </w:p>
          <w:p w14:paraId="442B9E59" w14:textId="77777777" w:rsidR="00DA4439" w:rsidRPr="00DA4439" w:rsidRDefault="00DA4439" w:rsidP="00DA4439">
            <w:pPr>
              <w:widowControl w:val="0"/>
              <w:numPr>
                <w:ilvl w:val="4"/>
                <w:numId w:val="4"/>
              </w:numPr>
              <w:tabs>
                <w:tab w:val="left" w:pos="2790"/>
              </w:tabs>
              <w:autoSpaceDE w:val="0"/>
              <w:autoSpaceDN w:val="0"/>
              <w:ind w:left="1260"/>
              <w:rPr>
                <w:rFonts w:ascii="Times New Roman" w:eastAsia="Times New Roman" w:hAnsi="Times New Roman" w:cs="Times New Roman"/>
                <w:sz w:val="24"/>
                <w:szCs w:val="24"/>
              </w:rPr>
            </w:pPr>
            <w:r w:rsidRPr="00DA4439">
              <w:rPr>
                <w:rFonts w:ascii="Times New Roman" w:eastAsia="Times New Roman" w:hAnsi="Times New Roman" w:cs="Times New Roman"/>
                <w:sz w:val="24"/>
                <w:szCs w:val="24"/>
              </w:rPr>
              <w:t>Writing/ Communication 6 credits</w:t>
            </w:r>
          </w:p>
          <w:p w14:paraId="58669A24" w14:textId="77777777" w:rsidR="00DA4439" w:rsidRPr="00DA4439" w:rsidRDefault="00DA4439" w:rsidP="00DA4439">
            <w:pPr>
              <w:widowControl w:val="0"/>
              <w:numPr>
                <w:ilvl w:val="4"/>
                <w:numId w:val="4"/>
              </w:numPr>
              <w:tabs>
                <w:tab w:val="left" w:pos="2790"/>
              </w:tabs>
              <w:autoSpaceDE w:val="0"/>
              <w:autoSpaceDN w:val="0"/>
              <w:ind w:left="1260"/>
              <w:rPr>
                <w:rFonts w:ascii="Times New Roman" w:eastAsia="Times New Roman" w:hAnsi="Times New Roman" w:cs="Times New Roman"/>
                <w:sz w:val="24"/>
                <w:szCs w:val="24"/>
              </w:rPr>
            </w:pPr>
            <w:r w:rsidRPr="00DA4439">
              <w:rPr>
                <w:rFonts w:ascii="Times New Roman" w:eastAsia="Times New Roman" w:hAnsi="Times New Roman" w:cs="Times New Roman"/>
                <w:sz w:val="24"/>
                <w:szCs w:val="24"/>
              </w:rPr>
              <w:t>Quantitative Literacy/Natural Science 12*-15 credits</w:t>
            </w:r>
          </w:p>
          <w:p w14:paraId="733440CD" w14:textId="77777777" w:rsidR="00DA4439" w:rsidRPr="00DA4439" w:rsidRDefault="00DA4439" w:rsidP="00DA4439">
            <w:pPr>
              <w:widowControl w:val="0"/>
              <w:numPr>
                <w:ilvl w:val="4"/>
                <w:numId w:val="4"/>
              </w:numPr>
              <w:tabs>
                <w:tab w:val="left" w:pos="2790"/>
              </w:tabs>
              <w:autoSpaceDE w:val="0"/>
              <w:autoSpaceDN w:val="0"/>
              <w:ind w:left="1260"/>
              <w:rPr>
                <w:rFonts w:ascii="Times New Roman" w:eastAsia="Times New Roman" w:hAnsi="Times New Roman" w:cs="Times New Roman"/>
                <w:sz w:val="24"/>
                <w:szCs w:val="24"/>
              </w:rPr>
            </w:pPr>
            <w:r w:rsidRPr="00DA4439">
              <w:rPr>
                <w:rFonts w:ascii="Times New Roman" w:eastAsia="Times New Roman" w:hAnsi="Times New Roman" w:cs="Times New Roman"/>
                <w:sz w:val="24"/>
                <w:szCs w:val="24"/>
              </w:rPr>
              <w:t>Creative Arts/Humanities 3 credits</w:t>
            </w:r>
          </w:p>
          <w:p w14:paraId="36A6DDA0" w14:textId="77777777" w:rsidR="00DA4439" w:rsidRPr="00DA4439" w:rsidRDefault="00DA4439" w:rsidP="00DA4439">
            <w:pPr>
              <w:widowControl w:val="0"/>
              <w:numPr>
                <w:ilvl w:val="4"/>
                <w:numId w:val="4"/>
              </w:numPr>
              <w:tabs>
                <w:tab w:val="left" w:pos="2790"/>
              </w:tabs>
              <w:autoSpaceDE w:val="0"/>
              <w:autoSpaceDN w:val="0"/>
              <w:ind w:left="1260"/>
              <w:rPr>
                <w:rFonts w:ascii="Times New Roman" w:eastAsia="Times New Roman" w:hAnsi="Times New Roman" w:cs="Times New Roman"/>
                <w:sz w:val="24"/>
                <w:szCs w:val="24"/>
              </w:rPr>
            </w:pPr>
            <w:r w:rsidRPr="00DA4439">
              <w:rPr>
                <w:rFonts w:ascii="Times New Roman" w:eastAsia="Times New Roman" w:hAnsi="Times New Roman" w:cs="Times New Roman"/>
                <w:sz w:val="24"/>
                <w:szCs w:val="24"/>
              </w:rPr>
              <w:t>Social Science 3 credits</w:t>
            </w:r>
          </w:p>
          <w:p w14:paraId="3A91255B" w14:textId="77777777" w:rsidR="00DA4439" w:rsidRPr="00DA4439" w:rsidRDefault="00DA4439" w:rsidP="00DA4439">
            <w:pPr>
              <w:widowControl w:val="0"/>
              <w:numPr>
                <w:ilvl w:val="4"/>
                <w:numId w:val="4"/>
              </w:numPr>
              <w:tabs>
                <w:tab w:val="left" w:pos="2790"/>
              </w:tabs>
              <w:autoSpaceDE w:val="0"/>
              <w:autoSpaceDN w:val="0"/>
              <w:ind w:left="1260"/>
              <w:rPr>
                <w:rFonts w:ascii="Times New Roman" w:eastAsia="Times New Roman" w:hAnsi="Times New Roman" w:cs="Times New Roman"/>
                <w:sz w:val="24"/>
                <w:szCs w:val="24"/>
              </w:rPr>
            </w:pPr>
            <w:r w:rsidRPr="00DA4439">
              <w:rPr>
                <w:rFonts w:ascii="Times New Roman" w:eastAsia="Times New Roman" w:hAnsi="Times New Roman" w:cs="Times New Roman"/>
                <w:sz w:val="24"/>
                <w:szCs w:val="24"/>
              </w:rPr>
              <w:t>Diversity/Ethical Reasoning 3 credits</w:t>
            </w:r>
          </w:p>
          <w:p w14:paraId="6D52F2EA" w14:textId="77777777" w:rsidR="00DA4439" w:rsidRPr="00DA4439" w:rsidRDefault="00DA4439" w:rsidP="00DA4439">
            <w:pPr>
              <w:widowControl w:val="0"/>
              <w:numPr>
                <w:ilvl w:val="4"/>
                <w:numId w:val="4"/>
              </w:numPr>
              <w:tabs>
                <w:tab w:val="left" w:pos="2790"/>
              </w:tabs>
              <w:autoSpaceDE w:val="0"/>
              <w:autoSpaceDN w:val="0"/>
              <w:ind w:left="1260"/>
              <w:rPr>
                <w:rFonts w:ascii="Times New Roman" w:eastAsia="Times New Roman" w:hAnsi="Times New Roman" w:cs="Times New Roman"/>
                <w:sz w:val="24"/>
                <w:szCs w:val="24"/>
              </w:rPr>
            </w:pPr>
            <w:r w:rsidRPr="00DA4439">
              <w:rPr>
                <w:rFonts w:ascii="Times New Roman" w:eastAsia="Times New Roman" w:hAnsi="Times New Roman" w:cs="Times New Roman"/>
                <w:sz w:val="24"/>
                <w:szCs w:val="24"/>
              </w:rPr>
              <w:t>Any General Education Elective 3** credits</w:t>
            </w:r>
          </w:p>
          <w:p w14:paraId="223DF990" w14:textId="77777777" w:rsidR="00DA4439" w:rsidRPr="00DA4439" w:rsidRDefault="00DA4439" w:rsidP="00DA4439">
            <w:pPr>
              <w:widowControl w:val="0"/>
              <w:numPr>
                <w:ilvl w:val="3"/>
                <w:numId w:val="4"/>
              </w:numPr>
              <w:tabs>
                <w:tab w:val="left" w:pos="2790"/>
              </w:tabs>
              <w:autoSpaceDE w:val="0"/>
              <w:autoSpaceDN w:val="0"/>
              <w:ind w:left="900"/>
              <w:rPr>
                <w:rFonts w:ascii="Times New Roman" w:eastAsia="Times New Roman" w:hAnsi="Times New Roman" w:cs="Times New Roman"/>
                <w:sz w:val="24"/>
                <w:szCs w:val="24"/>
              </w:rPr>
            </w:pPr>
            <w:r w:rsidRPr="00DA4439">
              <w:rPr>
                <w:rFonts w:ascii="Times New Roman" w:eastAsia="Times New Roman" w:hAnsi="Times New Roman" w:cs="Times New Roman"/>
                <w:sz w:val="24"/>
                <w:szCs w:val="24"/>
              </w:rPr>
              <w:t>Program Core up to 34 credits</w:t>
            </w:r>
          </w:p>
          <w:p w14:paraId="3E9BDB36" w14:textId="77777777" w:rsidR="00DA4439" w:rsidRPr="00DA4439" w:rsidRDefault="00DA4439" w:rsidP="00DA4439">
            <w:pPr>
              <w:widowControl w:val="0"/>
              <w:numPr>
                <w:ilvl w:val="3"/>
                <w:numId w:val="4"/>
              </w:numPr>
              <w:autoSpaceDE w:val="0"/>
              <w:autoSpaceDN w:val="0"/>
              <w:ind w:left="900"/>
              <w:rPr>
                <w:rFonts w:ascii="Times New Roman" w:eastAsia="Times New Roman" w:hAnsi="Times New Roman" w:cs="Times New Roman"/>
                <w:sz w:val="24"/>
                <w:szCs w:val="24"/>
              </w:rPr>
            </w:pPr>
            <w:r w:rsidRPr="00DA4439">
              <w:rPr>
                <w:rFonts w:ascii="Times New Roman" w:eastAsia="Times New Roman" w:hAnsi="Times New Roman" w:cs="Times New Roman"/>
                <w:sz w:val="24"/>
                <w:szCs w:val="24"/>
              </w:rPr>
              <w:t>Minimum Cumulative Grade Point Average 2.0</w:t>
            </w:r>
          </w:p>
          <w:p w14:paraId="7C356E8C" w14:textId="77777777" w:rsidR="00DA4439" w:rsidRPr="00DA4439" w:rsidRDefault="00DA4439" w:rsidP="00DA4439">
            <w:pPr>
              <w:widowControl w:val="0"/>
              <w:autoSpaceDE w:val="0"/>
              <w:autoSpaceDN w:val="0"/>
              <w:ind w:left="90" w:firstLine="24"/>
              <w:rPr>
                <w:rFonts w:ascii="Times New Roman" w:eastAsia="Times New Roman" w:hAnsi="Times New Roman" w:cs="Times New Roman"/>
                <w:sz w:val="24"/>
                <w:szCs w:val="24"/>
              </w:rPr>
            </w:pPr>
            <w:r w:rsidRPr="00DA4439">
              <w:rPr>
                <w:rFonts w:ascii="Times New Roman" w:eastAsia="Times New Roman" w:hAnsi="Times New Roman" w:cs="Times New Roman"/>
                <w:sz w:val="24"/>
                <w:szCs w:val="24"/>
              </w:rPr>
              <w:t xml:space="preserve">An </w:t>
            </w:r>
            <w:r w:rsidRPr="00DA4439">
              <w:rPr>
                <w:rFonts w:ascii="Times New Roman" w:eastAsia="Times New Roman" w:hAnsi="Times New Roman" w:cs="Times New Roman"/>
                <w:b/>
                <w:sz w:val="24"/>
                <w:szCs w:val="24"/>
              </w:rPr>
              <w:t>Advanced Certificate</w:t>
            </w:r>
            <w:r w:rsidRPr="00DA4439">
              <w:rPr>
                <w:rFonts w:ascii="Times New Roman" w:eastAsia="Times New Roman" w:hAnsi="Times New Roman" w:cs="Times New Roman"/>
                <w:sz w:val="24"/>
                <w:szCs w:val="24"/>
              </w:rPr>
              <w:t xml:space="preserve"> for occupational programs of study is awarded upon the successful completion of a prescribed program of vocational and/or technical courses designed to enhance the occupational skills of students seeking employment in highly specialized occupations. Advanced Certificates require:</w:t>
            </w:r>
          </w:p>
          <w:p w14:paraId="28DED916" w14:textId="77777777" w:rsidR="00DA4439" w:rsidRPr="00DA4439" w:rsidRDefault="00DA4439" w:rsidP="00DA4439">
            <w:pPr>
              <w:widowControl w:val="0"/>
              <w:numPr>
                <w:ilvl w:val="1"/>
                <w:numId w:val="5"/>
              </w:numPr>
              <w:autoSpaceDE w:val="0"/>
              <w:autoSpaceDN w:val="0"/>
              <w:ind w:left="900"/>
              <w:rPr>
                <w:rFonts w:ascii="Times New Roman" w:eastAsia="Times New Roman" w:hAnsi="Times New Roman" w:cs="Times New Roman"/>
                <w:sz w:val="24"/>
                <w:szCs w:val="24"/>
              </w:rPr>
            </w:pPr>
            <w:r w:rsidRPr="00DA4439">
              <w:rPr>
                <w:rFonts w:ascii="Times New Roman" w:eastAsia="Times New Roman" w:hAnsi="Times New Roman" w:cs="Times New Roman"/>
                <w:sz w:val="24"/>
                <w:szCs w:val="24"/>
              </w:rPr>
              <w:t>16 to 36 credit hours of coursework as specified by the program exclusive of practicum hours;</w:t>
            </w:r>
          </w:p>
          <w:p w14:paraId="083AEDF3" w14:textId="77777777" w:rsidR="00DA4439" w:rsidRPr="00DA4439" w:rsidRDefault="00DA4439" w:rsidP="00DA4439">
            <w:pPr>
              <w:widowControl w:val="0"/>
              <w:numPr>
                <w:ilvl w:val="1"/>
                <w:numId w:val="5"/>
              </w:numPr>
              <w:tabs>
                <w:tab w:val="left" w:pos="720"/>
              </w:tabs>
              <w:autoSpaceDE w:val="0"/>
              <w:autoSpaceDN w:val="0"/>
              <w:ind w:left="90"/>
              <w:rPr>
                <w:rFonts w:ascii="Times New Roman" w:eastAsia="Times New Roman" w:hAnsi="Times New Roman" w:cs="Times New Roman"/>
                <w:sz w:val="24"/>
                <w:szCs w:val="24"/>
              </w:rPr>
            </w:pPr>
            <w:r w:rsidRPr="00DA4439">
              <w:rPr>
                <w:rFonts w:ascii="Times New Roman" w:eastAsia="Times New Roman" w:hAnsi="Times New Roman" w:cs="Times New Roman"/>
                <w:sz w:val="24"/>
                <w:szCs w:val="24"/>
              </w:rPr>
              <w:tab/>
              <w:t>Achievement of a minimum cumulative grade point average of 2.0;</w:t>
            </w:r>
          </w:p>
        </w:tc>
      </w:tr>
    </w:tbl>
    <w:p w14:paraId="0DEE99EC" w14:textId="77777777" w:rsidR="00DA4439" w:rsidRPr="00DA4439" w:rsidRDefault="00DA4439" w:rsidP="00DA4439">
      <w:pPr>
        <w:widowControl w:val="0"/>
        <w:tabs>
          <w:tab w:val="left" w:pos="1192"/>
          <w:tab w:val="left" w:pos="1193"/>
        </w:tabs>
        <w:autoSpaceDE w:val="0"/>
        <w:autoSpaceDN w:val="0"/>
        <w:ind w:right="115"/>
        <w:rPr>
          <w:rFonts w:ascii="Calibri" w:eastAsia="Times New Roman" w:hAnsi="Calibri" w:cs="Calibri"/>
          <w:sz w:val="24"/>
          <w:szCs w:val="24"/>
        </w:rPr>
      </w:pPr>
    </w:p>
    <w:p w14:paraId="1593A6E3" w14:textId="77777777" w:rsidR="00702786" w:rsidRDefault="00103F6F"/>
    <w:sectPr w:rsidR="007027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1C23E" w14:textId="77777777" w:rsidR="00103F6F" w:rsidRDefault="00103F6F" w:rsidP="006A70C4">
      <w:r>
        <w:separator/>
      </w:r>
    </w:p>
  </w:endnote>
  <w:endnote w:type="continuationSeparator" w:id="0">
    <w:p w14:paraId="6F602C92" w14:textId="77777777" w:rsidR="00103F6F" w:rsidRDefault="00103F6F" w:rsidP="006A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F6F6E" w14:textId="77777777" w:rsidR="00103F6F" w:rsidRDefault="00103F6F" w:rsidP="006A70C4">
      <w:r>
        <w:separator/>
      </w:r>
    </w:p>
  </w:footnote>
  <w:footnote w:type="continuationSeparator" w:id="0">
    <w:p w14:paraId="5A47F076" w14:textId="77777777" w:rsidR="00103F6F" w:rsidRDefault="00103F6F" w:rsidP="006A7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6F59"/>
    <w:multiLevelType w:val="hybridMultilevel"/>
    <w:tmpl w:val="F8E88360"/>
    <w:lvl w:ilvl="0" w:tplc="04090001">
      <w:start w:val="1"/>
      <w:numFmt w:val="bullet"/>
      <w:lvlText w:val=""/>
      <w:lvlJc w:val="left"/>
      <w:pPr>
        <w:ind w:left="990" w:hanging="360"/>
      </w:pPr>
      <w:rPr>
        <w:rFonts w:ascii="Symbol" w:hAnsi="Symbol" w:hint="default"/>
      </w:rPr>
    </w:lvl>
    <w:lvl w:ilvl="1" w:tplc="04090001">
      <w:start w:val="1"/>
      <w:numFmt w:val="bullet"/>
      <w:lvlText w:val=""/>
      <w:lvlJc w:val="left"/>
      <w:pPr>
        <w:ind w:left="1710" w:hanging="360"/>
      </w:pPr>
      <w:rPr>
        <w:rFonts w:ascii="Symbol" w:hAnsi="Symbol"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8A222AC"/>
    <w:multiLevelType w:val="hybridMultilevel"/>
    <w:tmpl w:val="467C6D7E"/>
    <w:lvl w:ilvl="0" w:tplc="04090001">
      <w:start w:val="1"/>
      <w:numFmt w:val="bullet"/>
      <w:lvlText w:val=""/>
      <w:lvlJc w:val="left"/>
      <w:pPr>
        <w:ind w:left="27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202E3FEF"/>
    <w:multiLevelType w:val="hybridMultilevel"/>
    <w:tmpl w:val="8CB8E928"/>
    <w:lvl w:ilvl="0" w:tplc="85AA659A">
      <w:start w:val="1"/>
      <w:numFmt w:val="upperLetter"/>
      <w:lvlText w:val="%1."/>
      <w:lvlJc w:val="left"/>
      <w:pPr>
        <w:ind w:left="652" w:hanging="541"/>
      </w:pPr>
      <w:rPr>
        <w:rFonts w:ascii="Times New Roman" w:eastAsia="Times New Roman" w:hAnsi="Times New Roman" w:cs="Times New Roman" w:hint="default"/>
        <w:b/>
        <w:bCs/>
        <w:spacing w:val="-1"/>
        <w:w w:val="99"/>
        <w:sz w:val="24"/>
        <w:szCs w:val="24"/>
      </w:rPr>
    </w:lvl>
    <w:lvl w:ilvl="1" w:tplc="34E6A30E">
      <w:start w:val="1"/>
      <w:numFmt w:val="decimal"/>
      <w:lvlText w:val="%2."/>
      <w:lvlJc w:val="left"/>
      <w:pPr>
        <w:ind w:left="1192" w:hanging="540"/>
        <w:jc w:val="right"/>
      </w:pPr>
      <w:rPr>
        <w:rFonts w:hint="default"/>
        <w:spacing w:val="-5"/>
        <w:w w:val="99"/>
      </w:rPr>
    </w:lvl>
    <w:lvl w:ilvl="2" w:tplc="FA3EB094">
      <w:start w:val="1"/>
      <w:numFmt w:val="lowerLetter"/>
      <w:lvlText w:val="%3."/>
      <w:lvlJc w:val="left"/>
      <w:pPr>
        <w:ind w:left="1678" w:hanging="868"/>
      </w:pPr>
      <w:rPr>
        <w:rFonts w:ascii="Times New Roman" w:eastAsia="Times New Roman" w:hAnsi="Times New Roman" w:cs="Times New Roman" w:hint="default"/>
        <w:spacing w:val="-5"/>
        <w:w w:val="99"/>
        <w:sz w:val="24"/>
        <w:szCs w:val="24"/>
      </w:rPr>
    </w:lvl>
    <w:lvl w:ilvl="3" w:tplc="64F8E50E">
      <w:start w:val="1"/>
      <w:numFmt w:val="lowerRoman"/>
      <w:lvlText w:val="%4."/>
      <w:lvlJc w:val="left"/>
      <w:pPr>
        <w:ind w:left="2272" w:hanging="540"/>
      </w:pPr>
      <w:rPr>
        <w:rFonts w:ascii="Times New Roman" w:eastAsia="Times New Roman" w:hAnsi="Times New Roman" w:cs="Times New Roman" w:hint="default"/>
        <w:spacing w:val="-2"/>
        <w:w w:val="99"/>
        <w:sz w:val="24"/>
        <w:szCs w:val="24"/>
      </w:rPr>
    </w:lvl>
    <w:lvl w:ilvl="4" w:tplc="0DCCBEC6">
      <w:numFmt w:val="bullet"/>
      <w:lvlText w:val="•"/>
      <w:lvlJc w:val="left"/>
      <w:pPr>
        <w:ind w:left="3320" w:hanging="540"/>
      </w:pPr>
      <w:rPr>
        <w:rFonts w:hint="default"/>
      </w:rPr>
    </w:lvl>
    <w:lvl w:ilvl="5" w:tplc="44FE54C8">
      <w:numFmt w:val="bullet"/>
      <w:lvlText w:val="•"/>
      <w:lvlJc w:val="left"/>
      <w:pPr>
        <w:ind w:left="4360" w:hanging="540"/>
      </w:pPr>
      <w:rPr>
        <w:rFonts w:hint="default"/>
      </w:rPr>
    </w:lvl>
    <w:lvl w:ilvl="6" w:tplc="060EB858">
      <w:numFmt w:val="bullet"/>
      <w:lvlText w:val="•"/>
      <w:lvlJc w:val="left"/>
      <w:pPr>
        <w:ind w:left="5400" w:hanging="540"/>
      </w:pPr>
      <w:rPr>
        <w:rFonts w:hint="default"/>
      </w:rPr>
    </w:lvl>
    <w:lvl w:ilvl="7" w:tplc="B86CB9E8">
      <w:numFmt w:val="bullet"/>
      <w:lvlText w:val="•"/>
      <w:lvlJc w:val="left"/>
      <w:pPr>
        <w:ind w:left="6440" w:hanging="540"/>
      </w:pPr>
      <w:rPr>
        <w:rFonts w:hint="default"/>
      </w:rPr>
    </w:lvl>
    <w:lvl w:ilvl="8" w:tplc="B2C6DB90">
      <w:numFmt w:val="bullet"/>
      <w:lvlText w:val="•"/>
      <w:lvlJc w:val="left"/>
      <w:pPr>
        <w:ind w:left="7480" w:hanging="540"/>
      </w:pPr>
      <w:rPr>
        <w:rFonts w:hint="default"/>
      </w:rPr>
    </w:lvl>
  </w:abstractNum>
  <w:abstractNum w:abstractNumId="3" w15:restartNumberingAfterBreak="0">
    <w:nsid w:val="31792918"/>
    <w:multiLevelType w:val="hybridMultilevel"/>
    <w:tmpl w:val="52E222A2"/>
    <w:lvl w:ilvl="0" w:tplc="04090001">
      <w:start w:val="1"/>
      <w:numFmt w:val="bullet"/>
      <w:lvlText w:val=""/>
      <w:lvlJc w:val="left"/>
      <w:pPr>
        <w:ind w:left="27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15:restartNumberingAfterBreak="0">
    <w:nsid w:val="390A0087"/>
    <w:multiLevelType w:val="hybridMultilevel"/>
    <w:tmpl w:val="E11EF7B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1">
      <w:start w:val="1"/>
      <w:numFmt w:val="bullet"/>
      <w:lvlText w:val=""/>
      <w:lvlJc w:val="left"/>
      <w:pPr>
        <w:ind w:left="1710" w:hanging="360"/>
      </w:pPr>
      <w:rPr>
        <w:rFonts w:ascii="Symbol" w:hAnsi="Symbol" w:hint="default"/>
      </w:rPr>
    </w:lvl>
    <w:lvl w:ilvl="3" w:tplc="04090001">
      <w:start w:val="1"/>
      <w:numFmt w:val="bullet"/>
      <w:lvlText w:val=""/>
      <w:lvlJc w:val="left"/>
      <w:pPr>
        <w:ind w:left="2430" w:hanging="360"/>
      </w:pPr>
      <w:rPr>
        <w:rFonts w:ascii="Symbol" w:hAnsi="Symbol" w:hint="default"/>
      </w:rPr>
    </w:lvl>
    <w:lvl w:ilvl="4" w:tplc="04090003">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39"/>
    <w:rsid w:val="000002C0"/>
    <w:rsid w:val="00103F6F"/>
    <w:rsid w:val="00335401"/>
    <w:rsid w:val="00444E0C"/>
    <w:rsid w:val="00697853"/>
    <w:rsid w:val="006A70C4"/>
    <w:rsid w:val="00740464"/>
    <w:rsid w:val="007F3248"/>
    <w:rsid w:val="008F349D"/>
    <w:rsid w:val="00C17B81"/>
    <w:rsid w:val="00DA4439"/>
    <w:rsid w:val="00FC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48E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4439"/>
    <w:rPr>
      <w:sz w:val="16"/>
      <w:szCs w:val="16"/>
    </w:rPr>
  </w:style>
  <w:style w:type="paragraph" w:styleId="CommentText">
    <w:name w:val="annotation text"/>
    <w:basedOn w:val="Normal"/>
    <w:link w:val="CommentTextChar"/>
    <w:uiPriority w:val="99"/>
    <w:semiHidden/>
    <w:unhideWhenUsed/>
    <w:rsid w:val="00DA4439"/>
    <w:pPr>
      <w:widowControl w:val="0"/>
      <w:autoSpaceDE w:val="0"/>
      <w:autoSpaceDN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A443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A44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439"/>
    <w:rPr>
      <w:rFonts w:ascii="Segoe UI" w:hAnsi="Segoe UI" w:cs="Segoe UI"/>
      <w:sz w:val="18"/>
      <w:szCs w:val="18"/>
    </w:rPr>
  </w:style>
  <w:style w:type="paragraph" w:styleId="Header">
    <w:name w:val="header"/>
    <w:basedOn w:val="Normal"/>
    <w:link w:val="HeaderChar"/>
    <w:uiPriority w:val="99"/>
    <w:unhideWhenUsed/>
    <w:rsid w:val="006A70C4"/>
    <w:pPr>
      <w:tabs>
        <w:tab w:val="center" w:pos="4680"/>
        <w:tab w:val="right" w:pos="9360"/>
      </w:tabs>
    </w:pPr>
  </w:style>
  <w:style w:type="character" w:customStyle="1" w:styleId="HeaderChar">
    <w:name w:val="Header Char"/>
    <w:basedOn w:val="DefaultParagraphFont"/>
    <w:link w:val="Header"/>
    <w:uiPriority w:val="99"/>
    <w:rsid w:val="006A70C4"/>
  </w:style>
  <w:style w:type="paragraph" w:styleId="Footer">
    <w:name w:val="footer"/>
    <w:basedOn w:val="Normal"/>
    <w:link w:val="FooterChar"/>
    <w:uiPriority w:val="99"/>
    <w:unhideWhenUsed/>
    <w:rsid w:val="006A70C4"/>
    <w:pPr>
      <w:tabs>
        <w:tab w:val="center" w:pos="4680"/>
        <w:tab w:val="right" w:pos="9360"/>
      </w:tabs>
    </w:pPr>
  </w:style>
  <w:style w:type="character" w:customStyle="1" w:styleId="FooterChar">
    <w:name w:val="Footer Char"/>
    <w:basedOn w:val="DefaultParagraphFont"/>
    <w:link w:val="Footer"/>
    <w:uiPriority w:val="99"/>
    <w:rsid w:val="006A7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4786</Characters>
  <Application>Microsoft Office Word</Application>
  <DocSecurity>0</DocSecurity>
  <Lines>39</Lines>
  <Paragraphs>11</Paragraphs>
  <ScaleCrop>false</ScaleCrop>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2019-10-09T13:58:00Z</dcterms:created>
  <dcterms:modified xsi:type="dcterms:W3CDTF">2019-10-09T13:58:00Z</dcterms:modified>
</cp:coreProperties>
</file>