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2A" w:rsidRPr="006612F2" w:rsidRDefault="002E57D4">
      <w:pPr>
        <w:rPr>
          <w:rFonts w:ascii="Times New Roman" w:hAnsi="Times New Roman" w:cs="Times New Roman"/>
          <w:b/>
          <w:szCs w:val="22"/>
        </w:rPr>
      </w:pPr>
      <w:r w:rsidRPr="006612F2">
        <w:rPr>
          <w:rFonts w:ascii="Times New Roman" w:hAnsi="Times New Roman" w:cs="Times New Roman"/>
          <w:b/>
          <w:szCs w:val="22"/>
        </w:rPr>
        <w:t>The Department is seeking and anticipates receiving approval from CMS for this rate change.  Pending CMS approval, the rate increase will be effective retroactive to August 1, 2018.</w:t>
      </w:r>
    </w:p>
    <w:p w:rsidR="002E57D4" w:rsidRDefault="002E57D4">
      <w:pPr>
        <w:rPr>
          <w:rFonts w:ascii="Times New Roman" w:hAnsi="Times New Roman" w:cs="Times New Roman"/>
          <w:b/>
          <w:szCs w:val="22"/>
        </w:rPr>
      </w:pPr>
    </w:p>
    <w:p w:rsidR="00E0602A" w:rsidRPr="00E10A4E" w:rsidRDefault="001D0898">
      <w:pPr>
        <w:rPr>
          <w:rFonts w:ascii="Times New Roman" w:hAnsi="Times New Roman" w:cs="Times New Roman"/>
          <w:b/>
          <w:szCs w:val="22"/>
        </w:rPr>
      </w:pPr>
      <w:r w:rsidRPr="00E10A4E">
        <w:rPr>
          <w:rFonts w:ascii="Times New Roman" w:hAnsi="Times New Roman" w:cs="Times New Roman"/>
          <w:b/>
          <w:noProof/>
          <w:szCs w:val="22"/>
        </w:rPr>
        <w:pict>
          <v:shapetype id="_x0000_t32" coordsize="21600,21600" o:spt="32" o:oned="t" path="m,l21600,21600e" filled="f">
            <v:path arrowok="t" fillok="f" o:connecttype="none"/>
            <o:lock v:ext="edit" shapetype="t"/>
          </v:shapetype>
          <v:shape id="_x0000_s1026" type="#_x0000_t32" style="position:absolute;margin-left:-37.1pt;margin-top:15.3pt;width:0;height:277.15pt;z-index:251657216" o:connectortype="straight"/>
        </w:pict>
      </w:r>
      <w:r w:rsidRPr="00E10A4E">
        <w:rPr>
          <w:rFonts w:ascii="Times New Roman" w:hAnsi="Times New Roman" w:cs="Times New Roman"/>
          <w:b/>
          <w:noProof/>
          <w:szCs w:val="22"/>
        </w:rPr>
        <w:pict>
          <v:shapetype id="_x0000_t202" coordsize="21600,21600" o:spt="202" path="m,l,21600r21600,l21600,xe">
            <v:stroke joinstyle="miter"/>
            <v:path gradientshapeok="t" o:connecttype="rect"/>
          </v:shapetype>
          <v:shape id="_x0000_s1027" type="#_x0000_t202" style="position:absolute;margin-left:-69.5pt;margin-top:37.7pt;width:68.65pt;height:46.05pt;z-index:-251658240" stroked="f">
            <v:textbox>
              <w:txbxContent>
                <w:p w:rsidR="001D0898" w:rsidRPr="001D0898" w:rsidRDefault="001D0898" w:rsidP="003512D5">
                  <w:pPr>
                    <w:rPr>
                      <w:sz w:val="16"/>
                      <w:szCs w:val="16"/>
                    </w:rPr>
                  </w:pPr>
                </w:p>
              </w:txbxContent>
            </v:textbox>
          </v:shape>
        </w:pict>
      </w:r>
      <w:r w:rsidR="00E0602A" w:rsidRPr="00E10A4E">
        <w:rPr>
          <w:rFonts w:ascii="Times New Roman" w:hAnsi="Times New Roman" w:cs="Times New Roman"/>
          <w:b/>
          <w:szCs w:val="22"/>
        </w:rPr>
        <w:t>ALLOWANCES FOR DEVELOPMENTAL AND BEHAVIORAL EVALUATION CLINIC SERVICES</w:t>
      </w:r>
    </w:p>
    <w:tbl>
      <w:tblPr>
        <w:tblpPr w:leftFromText="180" w:rightFromText="180" w:vertAnchor="text" w:horzAnchor="margin" w:tblpXSpec="center" w:tblpY="144"/>
        <w:tblW w:w="13865" w:type="dxa"/>
        <w:tblLayout w:type="fixed"/>
        <w:tblLook w:val="0000" w:firstRow="0" w:lastRow="0" w:firstColumn="0" w:lastColumn="0" w:noHBand="0" w:noVBand="0"/>
      </w:tblPr>
      <w:tblGrid>
        <w:gridCol w:w="1206"/>
        <w:gridCol w:w="2666"/>
        <w:gridCol w:w="2085"/>
        <w:gridCol w:w="1154"/>
        <w:gridCol w:w="1169"/>
        <w:gridCol w:w="841"/>
        <w:gridCol w:w="722"/>
        <w:gridCol w:w="2010"/>
        <w:gridCol w:w="2012"/>
      </w:tblGrid>
      <w:tr w:rsidR="002D3771" w:rsidRPr="007736ED" w:rsidTr="003B2238">
        <w:tblPrEx>
          <w:tblCellMar>
            <w:top w:w="0" w:type="dxa"/>
            <w:bottom w:w="0" w:type="dxa"/>
          </w:tblCellMar>
        </w:tblPrEx>
        <w:trPr>
          <w:cantSplit/>
          <w:trHeight w:val="373"/>
        </w:trPr>
        <w:tc>
          <w:tcPr>
            <w:tcW w:w="1206" w:type="dxa"/>
            <w:tcBorders>
              <w:top w:val="single" w:sz="6" w:space="0" w:color="auto"/>
              <w:left w:val="single" w:sz="6" w:space="0" w:color="auto"/>
              <w:bottom w:val="single" w:sz="6" w:space="0" w:color="auto"/>
              <w:right w:val="single" w:sz="6" w:space="0" w:color="auto"/>
            </w:tcBorders>
            <w:vAlign w:val="center"/>
          </w:tcPr>
          <w:p w:rsidR="002D3771" w:rsidRPr="006612F2" w:rsidRDefault="002D3771" w:rsidP="003B2238">
            <w:pPr>
              <w:rPr>
                <w:rFonts w:ascii="Times New Roman" w:hAnsi="Times New Roman" w:cs="Times New Roman"/>
                <w:sz w:val="20"/>
              </w:rPr>
            </w:pPr>
            <w:r w:rsidRPr="006612F2">
              <w:rPr>
                <w:rFonts w:ascii="Times New Roman" w:hAnsi="Times New Roman" w:cs="Times New Roman"/>
                <w:sz w:val="20"/>
              </w:rPr>
              <w:t>PROC.</w:t>
            </w:r>
          </w:p>
          <w:p w:rsidR="002D3771" w:rsidRPr="006612F2" w:rsidRDefault="002D3771" w:rsidP="003B2238">
            <w:pPr>
              <w:rPr>
                <w:rFonts w:ascii="Times New Roman" w:hAnsi="Times New Roman" w:cs="Times New Roman"/>
                <w:sz w:val="20"/>
              </w:rPr>
            </w:pPr>
            <w:r w:rsidRPr="006612F2">
              <w:rPr>
                <w:rFonts w:ascii="Times New Roman" w:hAnsi="Times New Roman" w:cs="Times New Roman"/>
                <w:caps/>
                <w:sz w:val="20"/>
              </w:rPr>
              <w:t>Code</w:t>
            </w:r>
          </w:p>
        </w:tc>
        <w:tc>
          <w:tcPr>
            <w:tcW w:w="2666" w:type="dxa"/>
            <w:tcBorders>
              <w:top w:val="single" w:sz="6" w:space="0" w:color="auto"/>
              <w:left w:val="single" w:sz="6" w:space="0" w:color="auto"/>
              <w:bottom w:val="single" w:sz="6" w:space="0" w:color="auto"/>
              <w:right w:val="single" w:sz="6" w:space="0" w:color="auto"/>
            </w:tcBorders>
          </w:tcPr>
          <w:p w:rsidR="002D3771" w:rsidRPr="006612F2" w:rsidRDefault="002D3771" w:rsidP="00A62738">
            <w:pPr>
              <w:rPr>
                <w:rFonts w:ascii="Times New Roman" w:hAnsi="Times New Roman" w:cs="Times New Roman"/>
                <w:caps/>
                <w:sz w:val="20"/>
              </w:rPr>
            </w:pPr>
          </w:p>
          <w:p w:rsidR="002D3771" w:rsidRPr="006612F2" w:rsidRDefault="002D3771" w:rsidP="00A62738">
            <w:pPr>
              <w:rPr>
                <w:rFonts w:ascii="Times New Roman" w:hAnsi="Times New Roman" w:cs="Times New Roman"/>
                <w:sz w:val="20"/>
              </w:rPr>
            </w:pPr>
            <w:r w:rsidRPr="006612F2">
              <w:rPr>
                <w:rFonts w:ascii="Times New Roman" w:hAnsi="Times New Roman" w:cs="Times New Roman"/>
                <w:caps/>
                <w:sz w:val="20"/>
              </w:rPr>
              <w:t>Description</w:t>
            </w:r>
          </w:p>
        </w:tc>
        <w:tc>
          <w:tcPr>
            <w:tcW w:w="2085" w:type="dxa"/>
            <w:tcBorders>
              <w:top w:val="single" w:sz="6" w:space="0" w:color="auto"/>
              <w:left w:val="single" w:sz="6" w:space="0" w:color="auto"/>
              <w:bottom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caps/>
                <w:sz w:val="20"/>
              </w:rPr>
            </w:pPr>
            <w:r w:rsidRPr="006612F2">
              <w:rPr>
                <w:rFonts w:ascii="Times New Roman" w:hAnsi="Times New Roman" w:cs="Times New Roman"/>
                <w:caps/>
                <w:sz w:val="20"/>
              </w:rPr>
              <w:t>UNIT</w:t>
            </w:r>
          </w:p>
        </w:tc>
        <w:tc>
          <w:tcPr>
            <w:tcW w:w="2323" w:type="dxa"/>
            <w:gridSpan w:val="2"/>
            <w:tcBorders>
              <w:top w:val="single" w:sz="6" w:space="0" w:color="auto"/>
              <w:left w:val="single" w:sz="6" w:space="0" w:color="auto"/>
              <w:bottom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caps/>
                <w:sz w:val="20"/>
              </w:rPr>
            </w:pPr>
            <w:r w:rsidRPr="006612F2">
              <w:rPr>
                <w:rFonts w:ascii="Times New Roman" w:hAnsi="Times New Roman" w:cs="Times New Roman"/>
                <w:caps/>
                <w:sz w:val="20"/>
              </w:rPr>
              <w:t xml:space="preserve">Rate </w:t>
            </w:r>
            <w:r w:rsidR="002E57D4" w:rsidRPr="006612F2">
              <w:rPr>
                <w:rFonts w:ascii="Times New Roman" w:hAnsi="Times New Roman" w:cs="Times New Roman"/>
                <w:sz w:val="20"/>
              </w:rPr>
              <w:t>EFFECTIVE PRIOR TO 8/1</w:t>
            </w:r>
            <w:r w:rsidRPr="006612F2">
              <w:rPr>
                <w:rFonts w:ascii="Times New Roman" w:hAnsi="Times New Roman" w:cs="Times New Roman"/>
                <w:sz w:val="20"/>
              </w:rPr>
              <w:t>/18</w:t>
            </w:r>
          </w:p>
        </w:tc>
        <w:tc>
          <w:tcPr>
            <w:tcW w:w="1563" w:type="dxa"/>
            <w:gridSpan w:val="2"/>
            <w:tcBorders>
              <w:top w:val="single" w:sz="6" w:space="0" w:color="auto"/>
              <w:left w:val="single" w:sz="6" w:space="0" w:color="auto"/>
              <w:bottom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caps/>
                <w:sz w:val="20"/>
              </w:rPr>
            </w:pPr>
            <w:r w:rsidRPr="006612F2">
              <w:rPr>
                <w:rFonts w:ascii="Times New Roman" w:hAnsi="Times New Roman" w:cs="Times New Roman"/>
                <w:caps/>
                <w:sz w:val="20"/>
              </w:rPr>
              <w:t xml:space="preserve">Rate effective </w:t>
            </w:r>
            <w:r>
              <w:rPr>
                <w:rFonts w:ascii="Times New Roman" w:hAnsi="Times New Roman" w:cs="Times New Roman"/>
                <w:caps/>
                <w:sz w:val="20"/>
              </w:rPr>
              <w:t>8/1/18 – 6/30/19</w:t>
            </w:r>
          </w:p>
        </w:tc>
        <w:tc>
          <w:tcPr>
            <w:tcW w:w="2010" w:type="dxa"/>
            <w:tcBorders>
              <w:top w:val="single" w:sz="6" w:space="0" w:color="auto"/>
              <w:left w:val="single" w:sz="6" w:space="0" w:color="auto"/>
              <w:bottom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caps/>
                <w:sz w:val="20"/>
              </w:rPr>
            </w:pPr>
            <w:r>
              <w:rPr>
                <w:rFonts w:ascii="Times New Roman" w:hAnsi="Times New Roman" w:cs="Times New Roman"/>
                <w:caps/>
                <w:sz w:val="20"/>
              </w:rPr>
              <w:t>Rate effective 7/1/19</w:t>
            </w:r>
          </w:p>
        </w:tc>
        <w:tc>
          <w:tcPr>
            <w:tcW w:w="2010" w:type="dxa"/>
            <w:tcBorders>
              <w:top w:val="single" w:sz="6" w:space="0" w:color="auto"/>
              <w:left w:val="single" w:sz="6" w:space="0" w:color="auto"/>
              <w:bottom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caps/>
                <w:sz w:val="20"/>
              </w:rPr>
            </w:pPr>
            <w:r w:rsidRPr="006612F2">
              <w:rPr>
                <w:rFonts w:ascii="Times New Roman" w:hAnsi="Times New Roman" w:cs="Times New Roman"/>
                <w:caps/>
                <w:sz w:val="20"/>
              </w:rPr>
              <w:t>maximum Allowance</w:t>
            </w:r>
          </w:p>
        </w:tc>
      </w:tr>
      <w:tr w:rsidR="002D3771" w:rsidRPr="007736ED" w:rsidTr="006612F2">
        <w:tblPrEx>
          <w:tblCellMar>
            <w:top w:w="0" w:type="dxa"/>
            <w:bottom w:w="0" w:type="dxa"/>
          </w:tblCellMar>
        </w:tblPrEx>
        <w:trPr>
          <w:cantSplit/>
          <w:trHeight w:val="191"/>
        </w:trPr>
        <w:tc>
          <w:tcPr>
            <w:tcW w:w="1206" w:type="dxa"/>
            <w:tcBorders>
              <w:top w:val="single" w:sz="6" w:space="0" w:color="auto"/>
              <w:left w:val="single" w:sz="6" w:space="0" w:color="auto"/>
              <w:bottom w:val="single" w:sz="6" w:space="0" w:color="auto"/>
              <w:right w:val="single" w:sz="6" w:space="0" w:color="auto"/>
            </w:tcBorders>
          </w:tcPr>
          <w:p w:rsidR="002D3771" w:rsidRPr="006612F2" w:rsidRDefault="002D3771" w:rsidP="00A62738">
            <w:pPr>
              <w:rPr>
                <w:rFonts w:ascii="Times New Roman" w:hAnsi="Times New Roman" w:cs="Times New Roman"/>
                <w:sz w:val="20"/>
              </w:rPr>
            </w:pPr>
          </w:p>
        </w:tc>
        <w:tc>
          <w:tcPr>
            <w:tcW w:w="2666" w:type="dxa"/>
            <w:tcBorders>
              <w:top w:val="single" w:sz="6" w:space="0" w:color="auto"/>
              <w:left w:val="single" w:sz="6" w:space="0" w:color="auto"/>
              <w:bottom w:val="single" w:sz="6" w:space="0" w:color="auto"/>
              <w:right w:val="single" w:sz="6" w:space="0" w:color="auto"/>
            </w:tcBorders>
          </w:tcPr>
          <w:p w:rsidR="002D3771" w:rsidRPr="006612F2" w:rsidRDefault="002D3771" w:rsidP="00A62738">
            <w:pPr>
              <w:rPr>
                <w:rFonts w:ascii="Times New Roman" w:hAnsi="Times New Roman" w:cs="Times New Roman"/>
                <w:sz w:val="20"/>
              </w:rPr>
            </w:pPr>
          </w:p>
        </w:tc>
        <w:tc>
          <w:tcPr>
            <w:tcW w:w="2085" w:type="dxa"/>
            <w:tcBorders>
              <w:top w:val="single" w:sz="6" w:space="0" w:color="auto"/>
              <w:left w:val="single" w:sz="6" w:space="0" w:color="auto"/>
              <w:bottom w:val="single" w:sz="6" w:space="0" w:color="auto"/>
              <w:right w:val="single" w:sz="6" w:space="0" w:color="auto"/>
            </w:tcBorders>
          </w:tcPr>
          <w:p w:rsidR="002D3771" w:rsidRPr="006612F2" w:rsidRDefault="002D3771" w:rsidP="00A62738">
            <w:pPr>
              <w:jc w:val="center"/>
              <w:rPr>
                <w:rFonts w:ascii="Times New Roman" w:hAnsi="Times New Roman" w:cs="Times New Roman"/>
                <w:sz w:val="20"/>
              </w:rPr>
            </w:pPr>
          </w:p>
        </w:tc>
        <w:tc>
          <w:tcPr>
            <w:tcW w:w="2323" w:type="dxa"/>
            <w:gridSpan w:val="2"/>
            <w:tcBorders>
              <w:top w:val="single" w:sz="6" w:space="0" w:color="auto"/>
              <w:left w:val="single" w:sz="6" w:space="0" w:color="auto"/>
              <w:bottom w:val="single" w:sz="6" w:space="0" w:color="auto"/>
              <w:right w:val="single" w:sz="6" w:space="0" w:color="auto"/>
            </w:tcBorders>
          </w:tcPr>
          <w:p w:rsidR="002D3771" w:rsidRPr="006612F2" w:rsidRDefault="002D3771" w:rsidP="00A62738">
            <w:pPr>
              <w:jc w:val="center"/>
              <w:rPr>
                <w:rFonts w:ascii="Times New Roman" w:hAnsi="Times New Roman" w:cs="Times New Roman"/>
                <w:sz w:val="20"/>
              </w:rPr>
            </w:pPr>
          </w:p>
        </w:tc>
        <w:tc>
          <w:tcPr>
            <w:tcW w:w="1563" w:type="dxa"/>
            <w:gridSpan w:val="2"/>
            <w:tcBorders>
              <w:top w:val="single" w:sz="6" w:space="0" w:color="auto"/>
              <w:left w:val="single" w:sz="6" w:space="0" w:color="auto"/>
              <w:bottom w:val="single" w:sz="6" w:space="0" w:color="auto"/>
              <w:right w:val="single" w:sz="6" w:space="0" w:color="auto"/>
            </w:tcBorders>
          </w:tcPr>
          <w:p w:rsidR="002D3771" w:rsidRPr="006612F2" w:rsidRDefault="002D3771" w:rsidP="00A62738">
            <w:pPr>
              <w:jc w:val="center"/>
              <w:rPr>
                <w:rFonts w:ascii="Times New Roman" w:hAnsi="Times New Roman" w:cs="Times New Roman"/>
                <w:sz w:val="20"/>
              </w:rPr>
            </w:pPr>
          </w:p>
        </w:tc>
        <w:tc>
          <w:tcPr>
            <w:tcW w:w="2010" w:type="dxa"/>
            <w:tcBorders>
              <w:top w:val="single" w:sz="6" w:space="0" w:color="auto"/>
              <w:left w:val="single" w:sz="6" w:space="0" w:color="auto"/>
              <w:bottom w:val="single" w:sz="6" w:space="0" w:color="auto"/>
              <w:right w:val="single" w:sz="6" w:space="0" w:color="auto"/>
            </w:tcBorders>
          </w:tcPr>
          <w:p w:rsidR="002D3771" w:rsidRPr="006612F2" w:rsidRDefault="002D3771" w:rsidP="00A62738">
            <w:pPr>
              <w:jc w:val="center"/>
              <w:rPr>
                <w:rFonts w:ascii="Times New Roman" w:hAnsi="Times New Roman" w:cs="Times New Roman"/>
                <w:sz w:val="20"/>
              </w:rPr>
            </w:pPr>
          </w:p>
        </w:tc>
        <w:tc>
          <w:tcPr>
            <w:tcW w:w="2010" w:type="dxa"/>
            <w:tcBorders>
              <w:top w:val="single" w:sz="6" w:space="0" w:color="auto"/>
              <w:left w:val="single" w:sz="6" w:space="0" w:color="auto"/>
              <w:bottom w:val="single" w:sz="6" w:space="0" w:color="auto"/>
              <w:right w:val="single" w:sz="6" w:space="0" w:color="auto"/>
            </w:tcBorders>
          </w:tcPr>
          <w:p w:rsidR="002D3771" w:rsidRPr="006612F2" w:rsidRDefault="002D3771" w:rsidP="00A62738">
            <w:pPr>
              <w:jc w:val="center"/>
              <w:rPr>
                <w:rFonts w:ascii="Times New Roman" w:hAnsi="Times New Roman" w:cs="Times New Roman"/>
                <w:sz w:val="20"/>
              </w:rPr>
            </w:pPr>
          </w:p>
        </w:tc>
      </w:tr>
      <w:tr w:rsidR="002D3771" w:rsidRPr="007736ED" w:rsidTr="003B2238">
        <w:tblPrEx>
          <w:tblCellMar>
            <w:top w:w="0" w:type="dxa"/>
            <w:bottom w:w="0" w:type="dxa"/>
          </w:tblCellMar>
        </w:tblPrEx>
        <w:trPr>
          <w:cantSplit/>
          <w:trHeight w:val="383"/>
        </w:trPr>
        <w:tc>
          <w:tcPr>
            <w:tcW w:w="1206" w:type="dxa"/>
            <w:tcBorders>
              <w:top w:val="single" w:sz="6" w:space="0" w:color="auto"/>
              <w:left w:val="single" w:sz="6" w:space="0" w:color="auto"/>
              <w:right w:val="single" w:sz="6" w:space="0" w:color="auto"/>
            </w:tcBorders>
            <w:vAlign w:val="center"/>
          </w:tcPr>
          <w:p w:rsidR="002D3771" w:rsidRPr="006612F2" w:rsidRDefault="002D3771" w:rsidP="003B2238">
            <w:pPr>
              <w:rPr>
                <w:rFonts w:ascii="Times New Roman" w:hAnsi="Times New Roman" w:cs="Times New Roman"/>
                <w:strike/>
                <w:sz w:val="20"/>
              </w:rPr>
            </w:pPr>
            <w:r w:rsidRPr="006612F2">
              <w:rPr>
                <w:rFonts w:ascii="Times New Roman" w:hAnsi="Times New Roman" w:cs="Times New Roman"/>
                <w:sz w:val="20"/>
              </w:rPr>
              <w:t>T1026*</w:t>
            </w:r>
          </w:p>
        </w:tc>
        <w:tc>
          <w:tcPr>
            <w:tcW w:w="2666" w:type="dxa"/>
            <w:tcBorders>
              <w:top w:val="single" w:sz="6" w:space="0" w:color="auto"/>
              <w:left w:val="single" w:sz="6" w:space="0" w:color="auto"/>
              <w:right w:val="single" w:sz="6" w:space="0" w:color="auto"/>
            </w:tcBorders>
          </w:tcPr>
          <w:p w:rsidR="002D3771" w:rsidRPr="006612F2" w:rsidRDefault="002D3771" w:rsidP="00A62738">
            <w:pPr>
              <w:rPr>
                <w:rFonts w:ascii="Times New Roman" w:hAnsi="Times New Roman" w:cs="Times New Roman"/>
                <w:sz w:val="20"/>
              </w:rPr>
            </w:pPr>
            <w:r w:rsidRPr="006612F2">
              <w:rPr>
                <w:rFonts w:ascii="Times New Roman" w:hAnsi="Times New Roman" w:cs="Times New Roman"/>
                <w:sz w:val="20"/>
              </w:rPr>
              <w:t>Developmental and Behavioral Evaluation</w:t>
            </w:r>
          </w:p>
        </w:tc>
        <w:tc>
          <w:tcPr>
            <w:tcW w:w="2085" w:type="dxa"/>
            <w:tcBorders>
              <w:top w:val="single" w:sz="6" w:space="0" w:color="auto"/>
              <w:left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strike/>
                <w:sz w:val="20"/>
              </w:rPr>
            </w:pPr>
            <w:r w:rsidRPr="006612F2">
              <w:rPr>
                <w:rFonts w:ascii="Times New Roman" w:hAnsi="Times New Roman" w:cs="Times New Roman"/>
                <w:sz w:val="20"/>
              </w:rPr>
              <w:t>Per hour</w:t>
            </w:r>
          </w:p>
        </w:tc>
        <w:tc>
          <w:tcPr>
            <w:tcW w:w="2323" w:type="dxa"/>
            <w:gridSpan w:val="2"/>
            <w:tcBorders>
              <w:top w:val="single" w:sz="6" w:space="0" w:color="auto"/>
              <w:left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sz w:val="20"/>
              </w:rPr>
            </w:pPr>
            <w:r w:rsidRPr="006612F2">
              <w:rPr>
                <w:rFonts w:ascii="Times New Roman" w:hAnsi="Times New Roman" w:cs="Times New Roman"/>
                <w:sz w:val="20"/>
              </w:rPr>
              <w:t>$76.89</w:t>
            </w:r>
            <w:bookmarkStart w:id="0" w:name="_GoBack"/>
            <w:bookmarkEnd w:id="0"/>
          </w:p>
        </w:tc>
        <w:tc>
          <w:tcPr>
            <w:tcW w:w="1563" w:type="dxa"/>
            <w:gridSpan w:val="2"/>
            <w:tcBorders>
              <w:top w:val="single" w:sz="6" w:space="0" w:color="auto"/>
              <w:left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sz w:val="20"/>
              </w:rPr>
            </w:pPr>
            <w:r>
              <w:rPr>
                <w:rFonts w:ascii="Times New Roman" w:hAnsi="Times New Roman" w:cs="Times New Roman"/>
                <w:sz w:val="20"/>
              </w:rPr>
              <w:t>$78.57***</w:t>
            </w:r>
          </w:p>
        </w:tc>
        <w:tc>
          <w:tcPr>
            <w:tcW w:w="2010" w:type="dxa"/>
            <w:tcBorders>
              <w:top w:val="single" w:sz="6" w:space="0" w:color="auto"/>
              <w:left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sz w:val="20"/>
              </w:rPr>
            </w:pPr>
            <w:r>
              <w:rPr>
                <w:rFonts w:ascii="Times New Roman" w:hAnsi="Times New Roman" w:cs="Times New Roman"/>
                <w:sz w:val="20"/>
              </w:rPr>
              <w:t>$78.43***</w:t>
            </w:r>
          </w:p>
        </w:tc>
        <w:tc>
          <w:tcPr>
            <w:tcW w:w="2010" w:type="dxa"/>
            <w:tcBorders>
              <w:top w:val="single" w:sz="6" w:space="0" w:color="auto"/>
              <w:left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sz w:val="20"/>
              </w:rPr>
            </w:pPr>
            <w:r w:rsidRPr="006612F2">
              <w:rPr>
                <w:rFonts w:ascii="Times New Roman" w:hAnsi="Times New Roman" w:cs="Times New Roman"/>
                <w:sz w:val="20"/>
              </w:rPr>
              <w:t>14 Units**</w:t>
            </w:r>
          </w:p>
        </w:tc>
      </w:tr>
      <w:tr w:rsidR="002D3771" w:rsidRPr="007736ED" w:rsidTr="003B2238">
        <w:tblPrEx>
          <w:tblCellMar>
            <w:top w:w="0" w:type="dxa"/>
            <w:bottom w:w="0" w:type="dxa"/>
          </w:tblCellMar>
        </w:tblPrEx>
        <w:trPr>
          <w:cantSplit/>
          <w:trHeight w:val="182"/>
        </w:trPr>
        <w:tc>
          <w:tcPr>
            <w:tcW w:w="1206" w:type="dxa"/>
            <w:tcBorders>
              <w:top w:val="single" w:sz="6" w:space="0" w:color="auto"/>
              <w:left w:val="single" w:sz="6" w:space="0" w:color="auto"/>
              <w:right w:val="single" w:sz="6" w:space="0" w:color="auto"/>
            </w:tcBorders>
          </w:tcPr>
          <w:p w:rsidR="002D3771" w:rsidRPr="006612F2" w:rsidRDefault="002D3771" w:rsidP="00A62738">
            <w:pPr>
              <w:rPr>
                <w:rFonts w:ascii="Times New Roman" w:hAnsi="Times New Roman" w:cs="Times New Roman"/>
                <w:sz w:val="20"/>
              </w:rPr>
            </w:pPr>
            <w:r w:rsidRPr="006612F2">
              <w:rPr>
                <w:rFonts w:ascii="Times New Roman" w:hAnsi="Times New Roman" w:cs="Times New Roman"/>
                <w:sz w:val="20"/>
              </w:rPr>
              <w:t>T1026 HK*</w:t>
            </w:r>
          </w:p>
        </w:tc>
        <w:tc>
          <w:tcPr>
            <w:tcW w:w="2666" w:type="dxa"/>
            <w:tcBorders>
              <w:top w:val="single" w:sz="6" w:space="0" w:color="auto"/>
              <w:left w:val="single" w:sz="6" w:space="0" w:color="auto"/>
              <w:right w:val="single" w:sz="6" w:space="0" w:color="auto"/>
            </w:tcBorders>
          </w:tcPr>
          <w:p w:rsidR="002D3771" w:rsidRPr="006612F2" w:rsidRDefault="002D3771" w:rsidP="00A62738">
            <w:pPr>
              <w:rPr>
                <w:rFonts w:ascii="Times New Roman" w:hAnsi="Times New Roman" w:cs="Times New Roman"/>
                <w:sz w:val="20"/>
              </w:rPr>
            </w:pPr>
            <w:r w:rsidRPr="006612F2">
              <w:rPr>
                <w:rFonts w:ascii="Times New Roman" w:hAnsi="Times New Roman" w:cs="Times New Roman"/>
                <w:sz w:val="20"/>
              </w:rPr>
              <w:t>Child Abuse Evaluation</w:t>
            </w:r>
          </w:p>
        </w:tc>
        <w:tc>
          <w:tcPr>
            <w:tcW w:w="2085" w:type="dxa"/>
            <w:tcBorders>
              <w:top w:val="single" w:sz="6" w:space="0" w:color="auto"/>
              <w:left w:val="single" w:sz="6" w:space="0" w:color="auto"/>
              <w:right w:val="single" w:sz="6" w:space="0" w:color="auto"/>
            </w:tcBorders>
          </w:tcPr>
          <w:p w:rsidR="002D3771" w:rsidRPr="006612F2" w:rsidRDefault="002D3771" w:rsidP="00A62738">
            <w:pPr>
              <w:jc w:val="center"/>
              <w:rPr>
                <w:rFonts w:ascii="Times New Roman" w:hAnsi="Times New Roman" w:cs="Times New Roman"/>
                <w:strike/>
                <w:sz w:val="20"/>
              </w:rPr>
            </w:pPr>
            <w:r w:rsidRPr="006612F2">
              <w:rPr>
                <w:rFonts w:ascii="Times New Roman" w:hAnsi="Times New Roman" w:cs="Times New Roman"/>
                <w:sz w:val="20"/>
              </w:rPr>
              <w:t>Per hour</w:t>
            </w:r>
          </w:p>
        </w:tc>
        <w:tc>
          <w:tcPr>
            <w:tcW w:w="2323" w:type="dxa"/>
            <w:gridSpan w:val="2"/>
            <w:tcBorders>
              <w:top w:val="single" w:sz="6" w:space="0" w:color="auto"/>
              <w:left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sz w:val="20"/>
              </w:rPr>
            </w:pPr>
            <w:r w:rsidRPr="006612F2">
              <w:rPr>
                <w:rFonts w:ascii="Times New Roman" w:hAnsi="Times New Roman" w:cs="Times New Roman"/>
                <w:sz w:val="20"/>
              </w:rPr>
              <w:t>$95.00</w:t>
            </w:r>
          </w:p>
        </w:tc>
        <w:tc>
          <w:tcPr>
            <w:tcW w:w="1563" w:type="dxa"/>
            <w:gridSpan w:val="2"/>
            <w:tcBorders>
              <w:top w:val="single" w:sz="6" w:space="0" w:color="auto"/>
              <w:left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sz w:val="20"/>
              </w:rPr>
            </w:pPr>
            <w:r>
              <w:rPr>
                <w:rFonts w:ascii="Times New Roman" w:hAnsi="Times New Roman" w:cs="Times New Roman"/>
                <w:sz w:val="20"/>
              </w:rPr>
              <w:t>$97.07***</w:t>
            </w:r>
          </w:p>
        </w:tc>
        <w:tc>
          <w:tcPr>
            <w:tcW w:w="2010" w:type="dxa"/>
            <w:tcBorders>
              <w:top w:val="single" w:sz="6" w:space="0" w:color="auto"/>
              <w:left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sz w:val="20"/>
              </w:rPr>
            </w:pPr>
            <w:r>
              <w:rPr>
                <w:rFonts w:ascii="Times New Roman" w:hAnsi="Times New Roman" w:cs="Times New Roman"/>
                <w:sz w:val="20"/>
              </w:rPr>
              <w:t>96.90***</w:t>
            </w:r>
          </w:p>
        </w:tc>
        <w:tc>
          <w:tcPr>
            <w:tcW w:w="2010" w:type="dxa"/>
            <w:tcBorders>
              <w:top w:val="single" w:sz="6" w:space="0" w:color="auto"/>
              <w:left w:val="single" w:sz="6" w:space="0" w:color="auto"/>
              <w:right w:val="single" w:sz="6" w:space="0" w:color="auto"/>
            </w:tcBorders>
            <w:vAlign w:val="center"/>
          </w:tcPr>
          <w:p w:rsidR="002D3771" w:rsidRPr="006612F2" w:rsidRDefault="002D3771" w:rsidP="003B2238">
            <w:pPr>
              <w:jc w:val="center"/>
              <w:rPr>
                <w:rFonts w:ascii="Times New Roman" w:hAnsi="Times New Roman" w:cs="Times New Roman"/>
                <w:sz w:val="20"/>
              </w:rPr>
            </w:pPr>
            <w:r w:rsidRPr="006612F2">
              <w:rPr>
                <w:rFonts w:ascii="Times New Roman" w:hAnsi="Times New Roman" w:cs="Times New Roman"/>
                <w:sz w:val="20"/>
              </w:rPr>
              <w:t>11 Units**</w:t>
            </w:r>
          </w:p>
        </w:tc>
      </w:tr>
      <w:tr w:rsidR="002D3771" w:rsidRPr="007736ED" w:rsidTr="006612F2">
        <w:tblPrEx>
          <w:tblCellMar>
            <w:top w:w="0" w:type="dxa"/>
            <w:bottom w:w="0" w:type="dxa"/>
          </w:tblCellMar>
        </w:tblPrEx>
        <w:trPr>
          <w:cantSplit/>
          <w:trHeight w:val="57"/>
        </w:trPr>
        <w:tc>
          <w:tcPr>
            <w:tcW w:w="1206" w:type="dxa"/>
            <w:tcBorders>
              <w:top w:val="single" w:sz="6" w:space="0" w:color="auto"/>
              <w:right w:val="single" w:sz="6" w:space="0" w:color="auto"/>
            </w:tcBorders>
          </w:tcPr>
          <w:p w:rsidR="002D3771" w:rsidRPr="007736ED" w:rsidRDefault="002D3771" w:rsidP="00A62738">
            <w:pPr>
              <w:rPr>
                <w:rFonts w:ascii="Times New Roman" w:hAnsi="Times New Roman" w:cs="Times New Roman"/>
                <w:strike/>
                <w:szCs w:val="22"/>
              </w:rPr>
            </w:pPr>
          </w:p>
        </w:tc>
        <w:tc>
          <w:tcPr>
            <w:tcW w:w="2666" w:type="dxa"/>
            <w:tcBorders>
              <w:top w:val="single" w:sz="6" w:space="0" w:color="auto"/>
            </w:tcBorders>
          </w:tcPr>
          <w:p w:rsidR="002D3771" w:rsidRPr="007736ED" w:rsidRDefault="002D3771" w:rsidP="00A62738">
            <w:pPr>
              <w:rPr>
                <w:rFonts w:ascii="Times New Roman" w:hAnsi="Times New Roman" w:cs="Times New Roman"/>
                <w:strike/>
                <w:szCs w:val="22"/>
              </w:rPr>
            </w:pPr>
          </w:p>
        </w:tc>
        <w:tc>
          <w:tcPr>
            <w:tcW w:w="2085" w:type="dxa"/>
            <w:tcBorders>
              <w:top w:val="single" w:sz="6" w:space="0" w:color="auto"/>
            </w:tcBorders>
          </w:tcPr>
          <w:p w:rsidR="002D3771" w:rsidRPr="007736ED" w:rsidRDefault="002D3771" w:rsidP="00A62738">
            <w:pPr>
              <w:jc w:val="center"/>
              <w:rPr>
                <w:rFonts w:ascii="Times New Roman" w:hAnsi="Times New Roman" w:cs="Times New Roman"/>
                <w:strike/>
                <w:szCs w:val="22"/>
              </w:rPr>
            </w:pPr>
          </w:p>
        </w:tc>
        <w:tc>
          <w:tcPr>
            <w:tcW w:w="1154" w:type="dxa"/>
            <w:tcBorders>
              <w:top w:val="single" w:sz="6" w:space="0" w:color="auto"/>
            </w:tcBorders>
          </w:tcPr>
          <w:p w:rsidR="002D3771" w:rsidRPr="007736ED" w:rsidRDefault="002D3771" w:rsidP="00A62738">
            <w:pPr>
              <w:jc w:val="center"/>
              <w:rPr>
                <w:rFonts w:ascii="Times New Roman" w:hAnsi="Times New Roman" w:cs="Times New Roman"/>
                <w:strike/>
                <w:szCs w:val="22"/>
              </w:rPr>
            </w:pPr>
          </w:p>
        </w:tc>
        <w:tc>
          <w:tcPr>
            <w:tcW w:w="2010" w:type="dxa"/>
            <w:gridSpan w:val="2"/>
            <w:tcBorders>
              <w:top w:val="single" w:sz="6" w:space="0" w:color="auto"/>
            </w:tcBorders>
          </w:tcPr>
          <w:p w:rsidR="002D3771" w:rsidRPr="007736ED" w:rsidRDefault="002D3771" w:rsidP="00A62738">
            <w:pPr>
              <w:jc w:val="center"/>
              <w:rPr>
                <w:rFonts w:ascii="Times New Roman" w:hAnsi="Times New Roman" w:cs="Times New Roman"/>
                <w:strike/>
                <w:szCs w:val="22"/>
              </w:rPr>
            </w:pPr>
          </w:p>
        </w:tc>
        <w:tc>
          <w:tcPr>
            <w:tcW w:w="4744" w:type="dxa"/>
            <w:gridSpan w:val="3"/>
            <w:tcBorders>
              <w:top w:val="single" w:sz="6" w:space="0" w:color="auto"/>
            </w:tcBorders>
          </w:tcPr>
          <w:p w:rsidR="002D3771" w:rsidRPr="007736ED" w:rsidRDefault="002D3771" w:rsidP="00A62738">
            <w:pPr>
              <w:jc w:val="center"/>
              <w:rPr>
                <w:rFonts w:ascii="Times New Roman" w:hAnsi="Times New Roman" w:cs="Times New Roman"/>
                <w:strike/>
                <w:szCs w:val="22"/>
              </w:rPr>
            </w:pPr>
          </w:p>
        </w:tc>
      </w:tr>
    </w:tbl>
    <w:p w:rsidR="00E0602A" w:rsidRPr="007736ED" w:rsidRDefault="00E0602A" w:rsidP="00D46ECF">
      <w:pPr>
        <w:jc w:val="center"/>
        <w:rPr>
          <w:rFonts w:ascii="Times New Roman" w:hAnsi="Times New Roman" w:cs="Times New Roman"/>
          <w:szCs w:val="22"/>
        </w:rPr>
      </w:pPr>
    </w:p>
    <w:p w:rsidR="00E0602A" w:rsidRPr="007736ED" w:rsidRDefault="00E0602A" w:rsidP="00D46ECF">
      <w:pPr>
        <w:rPr>
          <w:rFonts w:ascii="Times New Roman" w:hAnsi="Times New Roman" w:cs="Times New Roman"/>
          <w:szCs w:val="22"/>
          <w:u w:val="single"/>
        </w:rPr>
      </w:pPr>
    </w:p>
    <w:p w:rsidR="00B9493C" w:rsidRDefault="00E0602A" w:rsidP="00D46ECF">
      <w:pPr>
        <w:ind w:left="360"/>
        <w:rPr>
          <w:rFonts w:ascii="Times New Roman" w:hAnsi="Times New Roman" w:cs="Times New Roman"/>
          <w:szCs w:val="22"/>
        </w:rPr>
      </w:pPr>
      <w:r w:rsidRPr="007736ED">
        <w:rPr>
          <w:rFonts w:ascii="Times New Roman" w:hAnsi="Times New Roman" w:cs="Times New Roman"/>
          <w:szCs w:val="22"/>
        </w:rPr>
        <w:t xml:space="preserve">* </w:t>
      </w:r>
      <w:r w:rsidR="00317D07" w:rsidRPr="007736ED">
        <w:rPr>
          <w:rFonts w:ascii="Times New Roman" w:hAnsi="Times New Roman" w:cs="Times New Roman"/>
          <w:szCs w:val="22"/>
        </w:rPr>
        <w:t xml:space="preserve">These procedure codes and limits will </w:t>
      </w:r>
      <w:r w:rsidR="00D46ECF">
        <w:rPr>
          <w:rFonts w:ascii="Times New Roman" w:hAnsi="Times New Roman" w:cs="Times New Roman"/>
          <w:szCs w:val="22"/>
        </w:rPr>
        <w:t xml:space="preserve">become </w:t>
      </w:r>
      <w:proofErr w:type="gramStart"/>
      <w:r w:rsidR="00D46ECF">
        <w:rPr>
          <w:rFonts w:ascii="Times New Roman" w:hAnsi="Times New Roman" w:cs="Times New Roman"/>
          <w:szCs w:val="22"/>
        </w:rPr>
        <w:t xml:space="preserve">effective </w:t>
      </w:r>
      <w:r w:rsidR="00317D07" w:rsidRPr="007736ED">
        <w:rPr>
          <w:rFonts w:ascii="Times New Roman" w:hAnsi="Times New Roman" w:cs="Times New Roman"/>
          <w:szCs w:val="22"/>
        </w:rPr>
        <w:t xml:space="preserve"> when</w:t>
      </w:r>
      <w:proofErr w:type="gramEnd"/>
      <w:r w:rsidR="00317D07" w:rsidRPr="007736ED">
        <w:rPr>
          <w:rFonts w:ascii="Times New Roman" w:hAnsi="Times New Roman" w:cs="Times New Roman"/>
          <w:szCs w:val="22"/>
        </w:rPr>
        <w:t xml:space="preserve"> the new payment system, MIHMS, is implemented.  Providers will be notified within 30 days </w:t>
      </w:r>
      <w:proofErr w:type="gramStart"/>
      <w:r w:rsidR="00317D07" w:rsidRPr="007736ED">
        <w:rPr>
          <w:rFonts w:ascii="Times New Roman" w:hAnsi="Times New Roman" w:cs="Times New Roman"/>
          <w:szCs w:val="22"/>
        </w:rPr>
        <w:t>of  implementation</w:t>
      </w:r>
      <w:proofErr w:type="gramEnd"/>
      <w:r w:rsidR="00317D07" w:rsidRPr="007736ED">
        <w:rPr>
          <w:rFonts w:ascii="Times New Roman" w:hAnsi="Times New Roman" w:cs="Times New Roman"/>
          <w:szCs w:val="22"/>
        </w:rPr>
        <w:t xml:space="preserve">. </w:t>
      </w:r>
      <w:r w:rsidR="00D46ECF">
        <w:rPr>
          <w:rFonts w:ascii="Times New Roman" w:hAnsi="Times New Roman" w:cs="Times New Roman"/>
          <w:szCs w:val="22"/>
        </w:rPr>
        <w:t xml:space="preserve"> </w:t>
      </w:r>
    </w:p>
    <w:p w:rsidR="00B9493C" w:rsidRPr="006612F2" w:rsidRDefault="00B9493C" w:rsidP="00D46ECF">
      <w:pPr>
        <w:ind w:left="360"/>
        <w:rPr>
          <w:rFonts w:ascii="Times New Roman" w:hAnsi="Times New Roman" w:cs="Times New Roman"/>
          <w:szCs w:val="22"/>
        </w:rPr>
      </w:pPr>
    </w:p>
    <w:p w:rsidR="00E0602A" w:rsidRPr="006612F2" w:rsidRDefault="00B9493C" w:rsidP="00D46ECF">
      <w:pPr>
        <w:ind w:left="360"/>
        <w:rPr>
          <w:rFonts w:ascii="Times New Roman" w:hAnsi="Times New Roman" w:cs="Times New Roman"/>
          <w:szCs w:val="22"/>
        </w:rPr>
      </w:pPr>
      <w:r w:rsidRPr="006612F2">
        <w:rPr>
          <w:rFonts w:ascii="Times New Roman" w:hAnsi="Times New Roman" w:cs="Times New Roman"/>
          <w:szCs w:val="22"/>
        </w:rPr>
        <w:t>**</w:t>
      </w:r>
      <w:r w:rsidR="001E6AC3" w:rsidRPr="006612F2">
        <w:rPr>
          <w:rFonts w:ascii="Times New Roman" w:hAnsi="Times New Roman" w:cs="Times New Roman"/>
          <w:szCs w:val="22"/>
        </w:rPr>
        <w:t>Developmental and Behavioral Evaluation is limited to a maximum of fourteen (14) units per evaluation</w:t>
      </w:r>
      <w:r w:rsidR="00C76693" w:rsidRPr="006612F2">
        <w:rPr>
          <w:rFonts w:ascii="Times New Roman" w:hAnsi="Times New Roman" w:cs="Times New Roman"/>
          <w:szCs w:val="22"/>
        </w:rPr>
        <w:t>,</w:t>
      </w:r>
      <w:r w:rsidR="001E6AC3" w:rsidRPr="006612F2">
        <w:rPr>
          <w:rFonts w:ascii="Times New Roman" w:hAnsi="Times New Roman" w:cs="Times New Roman"/>
          <w:szCs w:val="22"/>
        </w:rPr>
        <w:t xml:space="preserve"> and Child Abuse Evaluation is </w:t>
      </w:r>
      <w:r w:rsidR="00317D07" w:rsidRPr="006612F2">
        <w:rPr>
          <w:rFonts w:ascii="Times New Roman" w:hAnsi="Times New Roman" w:cs="Times New Roman"/>
          <w:szCs w:val="22"/>
        </w:rPr>
        <w:t xml:space="preserve">limited to a maximum of </w:t>
      </w:r>
      <w:r w:rsidR="00A72537" w:rsidRPr="006612F2">
        <w:rPr>
          <w:rFonts w:ascii="Times New Roman" w:hAnsi="Times New Roman" w:cs="Times New Roman"/>
          <w:szCs w:val="22"/>
        </w:rPr>
        <w:t>Eleven (</w:t>
      </w:r>
      <w:r w:rsidR="00A35B2C" w:rsidRPr="006612F2">
        <w:rPr>
          <w:rFonts w:ascii="Times New Roman" w:hAnsi="Times New Roman" w:cs="Times New Roman"/>
          <w:szCs w:val="22"/>
        </w:rPr>
        <w:t>11</w:t>
      </w:r>
      <w:r w:rsidR="00A72537" w:rsidRPr="006612F2">
        <w:rPr>
          <w:rFonts w:ascii="Times New Roman" w:hAnsi="Times New Roman" w:cs="Times New Roman"/>
          <w:szCs w:val="22"/>
        </w:rPr>
        <w:t>)</w:t>
      </w:r>
      <w:r w:rsidR="00A35B2C" w:rsidRPr="006612F2">
        <w:rPr>
          <w:rFonts w:ascii="Times New Roman" w:hAnsi="Times New Roman" w:cs="Times New Roman"/>
          <w:szCs w:val="22"/>
        </w:rPr>
        <w:t xml:space="preserve"> units</w:t>
      </w:r>
      <w:r w:rsidR="00C76693" w:rsidRPr="006612F2">
        <w:rPr>
          <w:rFonts w:ascii="Times New Roman" w:hAnsi="Times New Roman" w:cs="Times New Roman"/>
          <w:szCs w:val="22"/>
        </w:rPr>
        <w:t xml:space="preserve"> </w:t>
      </w:r>
      <w:r w:rsidR="00E0602A" w:rsidRPr="006612F2">
        <w:rPr>
          <w:rFonts w:ascii="Times New Roman" w:hAnsi="Times New Roman" w:cs="Times New Roman"/>
          <w:szCs w:val="22"/>
        </w:rPr>
        <w:t>per evaluation</w:t>
      </w:r>
      <w:r w:rsidR="00C76693" w:rsidRPr="006612F2">
        <w:rPr>
          <w:rFonts w:ascii="Times New Roman" w:hAnsi="Times New Roman" w:cs="Times New Roman"/>
          <w:szCs w:val="22"/>
        </w:rPr>
        <w:t>,</w:t>
      </w:r>
      <w:r w:rsidR="00E0602A" w:rsidRPr="006612F2">
        <w:rPr>
          <w:rFonts w:ascii="Times New Roman" w:hAnsi="Times New Roman" w:cs="Times New Roman"/>
          <w:szCs w:val="22"/>
        </w:rPr>
        <w:t xml:space="preserve"> and </w:t>
      </w:r>
      <w:r w:rsidR="001E6AC3" w:rsidRPr="006612F2">
        <w:rPr>
          <w:rFonts w:ascii="Times New Roman" w:hAnsi="Times New Roman" w:cs="Times New Roman"/>
          <w:szCs w:val="22"/>
        </w:rPr>
        <w:t xml:space="preserve">both are </w:t>
      </w:r>
      <w:r w:rsidR="00E0602A" w:rsidRPr="006612F2">
        <w:rPr>
          <w:rFonts w:ascii="Times New Roman" w:hAnsi="Times New Roman" w:cs="Times New Roman"/>
          <w:szCs w:val="22"/>
        </w:rPr>
        <w:t xml:space="preserve">limited to two </w:t>
      </w:r>
      <w:r w:rsidR="00A72537" w:rsidRPr="006612F2">
        <w:rPr>
          <w:rFonts w:ascii="Times New Roman" w:hAnsi="Times New Roman" w:cs="Times New Roman"/>
          <w:szCs w:val="22"/>
        </w:rPr>
        <w:t xml:space="preserve">(2) </w:t>
      </w:r>
      <w:r w:rsidR="00E0602A" w:rsidRPr="006612F2">
        <w:rPr>
          <w:rFonts w:ascii="Times New Roman" w:hAnsi="Times New Roman" w:cs="Times New Roman"/>
          <w:szCs w:val="22"/>
        </w:rPr>
        <w:t xml:space="preserve">evaluations in a twelve </w:t>
      </w:r>
      <w:r w:rsidR="001E6AC3" w:rsidRPr="006612F2">
        <w:rPr>
          <w:rFonts w:ascii="Times New Roman" w:hAnsi="Times New Roman" w:cs="Times New Roman"/>
          <w:szCs w:val="22"/>
        </w:rPr>
        <w:t xml:space="preserve">(12) </w:t>
      </w:r>
      <w:r w:rsidR="00E0602A" w:rsidRPr="006612F2">
        <w:rPr>
          <w:rFonts w:ascii="Times New Roman" w:hAnsi="Times New Roman" w:cs="Times New Roman"/>
          <w:szCs w:val="22"/>
        </w:rPr>
        <w:t>month period.</w:t>
      </w:r>
    </w:p>
    <w:p w:rsidR="003512D5" w:rsidRPr="006612F2" w:rsidRDefault="003512D5" w:rsidP="006612F2">
      <w:pPr>
        <w:rPr>
          <w:rFonts w:ascii="Times New Roman" w:hAnsi="Times New Roman" w:cs="Times New Roman"/>
          <w:szCs w:val="22"/>
        </w:rPr>
      </w:pPr>
    </w:p>
    <w:p w:rsidR="00AE530A" w:rsidRPr="006612F2" w:rsidRDefault="00AE530A" w:rsidP="006612F2">
      <w:pPr>
        <w:autoSpaceDE w:val="0"/>
        <w:autoSpaceDN w:val="0"/>
        <w:adjustRightInd w:val="0"/>
        <w:ind w:left="360"/>
        <w:rPr>
          <w:rFonts w:ascii="TimesNewRomanPSMT" w:hAnsi="TimesNewRomanPSMT" w:cs="TimesNewRomanPSMT"/>
        </w:rPr>
      </w:pPr>
      <w:r w:rsidRPr="006612F2">
        <w:rPr>
          <w:rFonts w:ascii="Times New Roman" w:hAnsi="Times New Roman" w:cs="Times New Roman"/>
          <w:szCs w:val="22"/>
        </w:rPr>
        <w:t>***</w:t>
      </w:r>
      <w:r w:rsidRPr="006612F2">
        <w:rPr>
          <w:rFonts w:ascii="TimesNewRomanPSMT" w:hAnsi="TimesNewRomanPSMT" w:cs="TimesNewRomanPSMT"/>
        </w:rPr>
        <w:t xml:space="preserve"> </w:t>
      </w:r>
      <w:r w:rsidR="002E57D4" w:rsidRPr="006612F2">
        <w:rPr>
          <w:rFonts w:ascii="Times New Roman" w:hAnsi="Times New Roman" w:cs="Times New Roman"/>
          <w:szCs w:val="22"/>
        </w:rPr>
        <w:t>Providers must ensure that the increase in reimbursement rates effective August 1, 2018, is applied in full to wages and benefits for employees who provide direct services.  Providers must document compliance with this requirement in their financial records and provide such documentation to the Department upon request.</w:t>
      </w:r>
    </w:p>
    <w:p w:rsidR="00AE530A" w:rsidRPr="007736ED" w:rsidRDefault="00AE530A" w:rsidP="006612F2">
      <w:pPr>
        <w:tabs>
          <w:tab w:val="left" w:pos="360"/>
        </w:tabs>
        <w:rPr>
          <w:rFonts w:ascii="Times New Roman" w:hAnsi="Times New Roman" w:cs="Times New Roman"/>
          <w:szCs w:val="22"/>
        </w:rPr>
      </w:pPr>
    </w:p>
    <w:p w:rsidR="003512D5" w:rsidRDefault="003512D5" w:rsidP="00D46ECF">
      <w:pPr>
        <w:ind w:left="360"/>
        <w:rPr>
          <w:rFonts w:ascii="Times New Roman" w:hAnsi="Times New Roman" w:cs="Times New Roman"/>
          <w:szCs w:val="22"/>
        </w:rPr>
      </w:pPr>
      <w:r w:rsidRPr="003B3C1D">
        <w:rPr>
          <w:rFonts w:ascii="Times New Roman" w:hAnsi="Times New Roman" w:cs="Times New Roman"/>
          <w:b/>
          <w:szCs w:val="22"/>
        </w:rPr>
        <w:t>The procedure codes</w:t>
      </w:r>
      <w:r w:rsidR="00D46ECF" w:rsidRPr="003B3C1D">
        <w:rPr>
          <w:rFonts w:ascii="Times New Roman" w:hAnsi="Times New Roman" w:cs="Times New Roman"/>
          <w:b/>
          <w:szCs w:val="22"/>
        </w:rPr>
        <w:t xml:space="preserve"> below</w:t>
      </w:r>
      <w:r w:rsidRPr="003B3C1D">
        <w:rPr>
          <w:rFonts w:ascii="Times New Roman" w:hAnsi="Times New Roman" w:cs="Times New Roman"/>
          <w:b/>
          <w:szCs w:val="22"/>
        </w:rPr>
        <w:t xml:space="preserve"> will be in effect until MIHMS goes live.</w:t>
      </w:r>
      <w:r w:rsidRPr="007736ED">
        <w:rPr>
          <w:rFonts w:ascii="Times New Roman" w:hAnsi="Times New Roman" w:cs="Times New Roman"/>
          <w:szCs w:val="22"/>
        </w:rPr>
        <w:t xml:space="preserve"> These codes will no longer be in effect when the new payment system MIMHS is implemented.  </w:t>
      </w:r>
    </w:p>
    <w:p w:rsidR="00D46ECF" w:rsidRPr="007736ED" w:rsidRDefault="00D46ECF" w:rsidP="00D46ECF">
      <w:pPr>
        <w:ind w:left="360"/>
        <w:rPr>
          <w:rFonts w:ascii="Times New Roman" w:hAnsi="Times New Roman" w:cs="Times New Roman"/>
          <w:szCs w:val="22"/>
        </w:rPr>
      </w:pPr>
    </w:p>
    <w:p w:rsidR="003512D5" w:rsidRPr="007736ED" w:rsidRDefault="00D46ECF" w:rsidP="00D46ECF">
      <w:pPr>
        <w:ind w:left="36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3512D5" w:rsidRPr="007736ED">
        <w:rPr>
          <w:rFonts w:ascii="Times New Roman" w:hAnsi="Times New Roman" w:cs="Times New Roman"/>
          <w:szCs w:val="22"/>
        </w:rPr>
        <w:t>Z3016- Developmental and Behavioral Evaluation, 7/1/10-7/31/10 $765.00</w:t>
      </w:r>
      <w:r w:rsidR="00B9493C">
        <w:rPr>
          <w:rFonts w:ascii="Times New Roman" w:hAnsi="Times New Roman" w:cs="Times New Roman"/>
          <w:szCs w:val="22"/>
        </w:rPr>
        <w:t xml:space="preserve"> </w:t>
      </w:r>
      <w:r w:rsidR="003512D5" w:rsidRPr="007736ED">
        <w:rPr>
          <w:rFonts w:ascii="Times New Roman" w:hAnsi="Times New Roman" w:cs="Times New Roman"/>
          <w:szCs w:val="22"/>
        </w:rPr>
        <w:t>per evaluation</w:t>
      </w:r>
    </w:p>
    <w:p w:rsidR="003512D5" w:rsidRPr="007736ED" w:rsidRDefault="00D46ECF" w:rsidP="00D46ECF">
      <w:pPr>
        <w:ind w:left="36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3512D5" w:rsidRPr="007736ED">
        <w:rPr>
          <w:rFonts w:ascii="Times New Roman" w:hAnsi="Times New Roman" w:cs="Times New Roman"/>
          <w:szCs w:val="22"/>
        </w:rPr>
        <w:t>Z3015- Child Abuse Evaluation 7/1/10-7/31/10 $1,327.50</w:t>
      </w:r>
      <w:r w:rsidR="00B9493C">
        <w:rPr>
          <w:rFonts w:ascii="Times New Roman" w:hAnsi="Times New Roman" w:cs="Times New Roman"/>
          <w:szCs w:val="22"/>
        </w:rPr>
        <w:t xml:space="preserve"> </w:t>
      </w:r>
      <w:r w:rsidR="003512D5" w:rsidRPr="007736ED">
        <w:rPr>
          <w:rFonts w:ascii="Times New Roman" w:hAnsi="Times New Roman" w:cs="Times New Roman"/>
          <w:szCs w:val="22"/>
        </w:rPr>
        <w:t>per evaluation</w:t>
      </w:r>
    </w:p>
    <w:p w:rsidR="00E0602A" w:rsidRPr="007736ED" w:rsidRDefault="00E0602A" w:rsidP="00D46ECF">
      <w:pPr>
        <w:rPr>
          <w:sz w:val="24"/>
          <w:szCs w:val="24"/>
        </w:rPr>
      </w:pPr>
    </w:p>
    <w:p w:rsidR="00E0602A" w:rsidRPr="007736ED" w:rsidRDefault="00E0602A">
      <w:pPr>
        <w:rPr>
          <w:rFonts w:ascii="Times New Roman" w:hAnsi="Times New Roman" w:cs="Times New Roman"/>
          <w:szCs w:val="22"/>
        </w:rPr>
      </w:pPr>
    </w:p>
    <w:sectPr w:rsidR="00E0602A" w:rsidRPr="007736ED" w:rsidSect="006612F2">
      <w:headerReference w:type="even" r:id="rId7"/>
      <w:headerReference w:type="default" r:id="rId8"/>
      <w:footerReference w:type="even" r:id="rId9"/>
      <w:footerReference w:type="default" r:id="rId10"/>
      <w:headerReference w:type="first" r:id="rId11"/>
      <w:footerReference w:type="first" r:id="rId12"/>
      <w:pgSz w:w="15840" w:h="12240" w:orient="landscape"/>
      <w:pgMar w:top="1627" w:right="1440" w:bottom="153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30" w:rsidRDefault="00377430">
      <w:r>
        <w:separator/>
      </w:r>
    </w:p>
  </w:endnote>
  <w:endnote w:type="continuationSeparator" w:id="0">
    <w:p w:rsidR="00377430" w:rsidRDefault="0037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3" w:rsidRDefault="00CD5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3" w:rsidRDefault="00CD54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3" w:rsidRDefault="00CD5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30" w:rsidRDefault="00377430">
      <w:r>
        <w:separator/>
      </w:r>
    </w:p>
  </w:footnote>
  <w:footnote w:type="continuationSeparator" w:id="0">
    <w:p w:rsidR="00377430" w:rsidRDefault="0037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3" w:rsidRDefault="00CD5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3" w:rsidRDefault="00CD54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93" w:rsidRPr="00A05AEA" w:rsidRDefault="00C76693">
    <w:pPr>
      <w:jc w:val="center"/>
      <w:rPr>
        <w:rFonts w:ascii="Times New Roman" w:hAnsi="Times New Roman" w:cs="Times New Roman"/>
        <w:szCs w:val="22"/>
      </w:rPr>
    </w:pPr>
    <w:r w:rsidRPr="00A05AEA">
      <w:rPr>
        <w:rFonts w:ascii="Times New Roman" w:hAnsi="Times New Roman" w:cs="Times New Roman"/>
        <w:szCs w:val="22"/>
      </w:rPr>
      <w:t>10-144 Chapter 101</w:t>
    </w:r>
  </w:p>
  <w:p w:rsidR="00C76693" w:rsidRPr="00A05AEA" w:rsidRDefault="00C76693">
    <w:pPr>
      <w:jc w:val="center"/>
      <w:rPr>
        <w:rFonts w:ascii="Times New Roman" w:hAnsi="Times New Roman" w:cs="Times New Roman"/>
        <w:szCs w:val="22"/>
      </w:rPr>
    </w:pPr>
    <w:r w:rsidRPr="00A05AEA">
      <w:rPr>
        <w:rFonts w:ascii="Times New Roman" w:hAnsi="Times New Roman" w:cs="Times New Roman"/>
        <w:szCs w:val="22"/>
      </w:rPr>
      <w:t>MAINECARE MANUAL</w:t>
    </w:r>
  </w:p>
  <w:p w:rsidR="00C76693" w:rsidRPr="00A05AEA" w:rsidRDefault="00C76693">
    <w:pPr>
      <w:jc w:val="center"/>
      <w:rPr>
        <w:rFonts w:ascii="Times New Roman" w:hAnsi="Times New Roman" w:cs="Times New Roman"/>
        <w:szCs w:val="22"/>
      </w:rPr>
    </w:pPr>
    <w:r w:rsidRPr="00A05AEA">
      <w:rPr>
        <w:rFonts w:ascii="Times New Roman" w:hAnsi="Times New Roman" w:cs="Times New Roman"/>
        <w:szCs w:val="22"/>
      </w:rPr>
      <w:t>CHAPTER III</w:t>
    </w:r>
  </w:p>
  <w:p w:rsidR="00C76693" w:rsidRPr="00A05AEA" w:rsidRDefault="00C76693">
    <w:pPr>
      <w:pBdr>
        <w:top w:val="single" w:sz="6" w:space="1" w:color="auto"/>
        <w:bottom w:val="single" w:sz="6" w:space="1" w:color="auto"/>
      </w:pBdr>
      <w:tabs>
        <w:tab w:val="center" w:pos="6570"/>
        <w:tab w:val="right" w:pos="12960"/>
      </w:tabs>
      <w:spacing w:before="120"/>
      <w:rPr>
        <w:rFonts w:ascii="Times New Roman" w:hAnsi="Times New Roman" w:cs="Times New Roman"/>
        <w:szCs w:val="22"/>
      </w:rPr>
    </w:pPr>
    <w:r w:rsidRPr="00A05AEA">
      <w:rPr>
        <w:rFonts w:ascii="Times New Roman" w:hAnsi="Times New Roman" w:cs="Times New Roman"/>
        <w:szCs w:val="22"/>
      </w:rPr>
      <w:t xml:space="preserve">SECTION 23 </w:t>
    </w:r>
    <w:r w:rsidRPr="00A05AEA">
      <w:rPr>
        <w:rFonts w:ascii="Times New Roman" w:hAnsi="Times New Roman" w:cs="Times New Roman"/>
        <w:szCs w:val="22"/>
      </w:rPr>
      <w:tab/>
    </w:r>
    <w:r w:rsidRPr="00A05AEA">
      <w:rPr>
        <w:rFonts w:ascii="Times New Roman" w:hAnsi="Times New Roman" w:cs="Times New Roman"/>
        <w:b/>
        <w:szCs w:val="22"/>
      </w:rPr>
      <w:t xml:space="preserve">DEVELOPMENTAL </w:t>
    </w:r>
    <w:proofErr w:type="gramStart"/>
    <w:r w:rsidRPr="00A05AEA">
      <w:rPr>
        <w:rFonts w:ascii="Times New Roman" w:hAnsi="Times New Roman" w:cs="Times New Roman"/>
        <w:b/>
        <w:szCs w:val="22"/>
      </w:rPr>
      <w:t>AND  BEHAVIORAL</w:t>
    </w:r>
    <w:proofErr w:type="gramEnd"/>
    <w:r w:rsidRPr="00A05AEA">
      <w:rPr>
        <w:rFonts w:ascii="Times New Roman" w:hAnsi="Times New Roman" w:cs="Times New Roman"/>
        <w:b/>
        <w:szCs w:val="22"/>
      </w:rPr>
      <w:t xml:space="preserve">  EVALUATION CLINIC SERVICES</w:t>
    </w:r>
    <w:r w:rsidRPr="00A05AEA">
      <w:rPr>
        <w:rFonts w:ascii="Times New Roman" w:hAnsi="Times New Roman" w:cs="Times New Roman"/>
        <w:szCs w:val="22"/>
      </w:rPr>
      <w:t xml:space="preserve">                   </w:t>
    </w:r>
    <w:r>
      <w:rPr>
        <w:rFonts w:ascii="Times New Roman" w:hAnsi="Times New Roman" w:cs="Times New Roman"/>
        <w:szCs w:val="22"/>
      </w:rPr>
      <w:t xml:space="preserve">                 </w:t>
    </w:r>
    <w:r w:rsidRPr="00A05AEA">
      <w:rPr>
        <w:rFonts w:ascii="Times New Roman" w:hAnsi="Times New Roman" w:cs="Times New Roman"/>
        <w:szCs w:val="22"/>
      </w:rPr>
      <w:t>Established</w:t>
    </w:r>
    <w:r w:rsidRPr="00A05AEA">
      <w:rPr>
        <w:rFonts w:ascii="Times New Roman" w:hAnsi="Times New Roman" w:cs="Times New Roman"/>
        <w:szCs w:val="22"/>
      </w:rPr>
      <w:tab/>
      <w:t>9/1/92</w:t>
    </w:r>
  </w:p>
  <w:p w:rsidR="00C76693" w:rsidRPr="00A05AEA" w:rsidRDefault="00C76693">
    <w:pPr>
      <w:pBdr>
        <w:top w:val="single" w:sz="6" w:space="1" w:color="auto"/>
        <w:bottom w:val="single" w:sz="6" w:space="1" w:color="auto"/>
      </w:pBdr>
      <w:tabs>
        <w:tab w:val="center" w:pos="6570"/>
        <w:tab w:val="right" w:pos="12960"/>
      </w:tabs>
      <w:spacing w:before="120"/>
      <w:rPr>
        <w:rFonts w:ascii="Times New Roman" w:hAnsi="Times New Roman" w:cs="Times New Roman"/>
        <w:szCs w:val="22"/>
      </w:rPr>
    </w:pPr>
    <w:r w:rsidRPr="00A05AEA">
      <w:rPr>
        <w:rFonts w:ascii="Times New Roman" w:hAnsi="Times New Roman" w:cs="Times New Roman"/>
        <w:szCs w:val="22"/>
      </w:rPr>
      <w:tab/>
    </w:r>
    <w:r w:rsidRPr="00A05AEA">
      <w:rPr>
        <w:rFonts w:ascii="Times New Roman" w:hAnsi="Times New Roman" w:cs="Times New Roman"/>
        <w:szCs w:val="22"/>
      </w:rPr>
      <w:tab/>
      <w:t>Last Updated</w:t>
    </w:r>
    <w:r w:rsidR="001D4DBB">
      <w:rPr>
        <w:rFonts w:ascii="Times New Roman" w:hAnsi="Times New Roman" w:cs="Times New Roman"/>
        <w:szCs w:val="22"/>
      </w:rPr>
      <w:t xml:space="preserve"> 2/3</w:t>
    </w:r>
    <w:r w:rsidR="00867B1F">
      <w:rPr>
        <w:rFonts w:ascii="Times New Roman" w:hAnsi="Times New Roman" w:cs="Times New Roman"/>
        <w:szCs w:val="22"/>
      </w:rPr>
      <w:t>/19</w:t>
    </w:r>
    <w:r w:rsidR="00066F2B">
      <w:rPr>
        <w:rFonts w:ascii="Times New Roman" w:hAnsi="Times New Roman" w:cs="Times New Roman"/>
        <w:szCs w:val="22"/>
      </w:rPr>
      <w:t xml:space="preserve"> </w:t>
    </w:r>
  </w:p>
  <w:p w:rsidR="00C76693" w:rsidRDefault="00C76693">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C4814"/>
    <w:multiLevelType w:val="hybridMultilevel"/>
    <w:tmpl w:val="EBCED2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B4D"/>
    <w:rsid w:val="00003D36"/>
    <w:rsid w:val="00047EAF"/>
    <w:rsid w:val="00066F2B"/>
    <w:rsid w:val="00096AF6"/>
    <w:rsid w:val="000C05FC"/>
    <w:rsid w:val="0015102E"/>
    <w:rsid w:val="001B5576"/>
    <w:rsid w:val="001D0898"/>
    <w:rsid w:val="001D4DBB"/>
    <w:rsid w:val="001E6AC3"/>
    <w:rsid w:val="002222E2"/>
    <w:rsid w:val="002533E8"/>
    <w:rsid w:val="002A3015"/>
    <w:rsid w:val="002D3771"/>
    <w:rsid w:val="002E57D4"/>
    <w:rsid w:val="00313D93"/>
    <w:rsid w:val="00317D07"/>
    <w:rsid w:val="00323FA7"/>
    <w:rsid w:val="00324CD1"/>
    <w:rsid w:val="003512D5"/>
    <w:rsid w:val="00377430"/>
    <w:rsid w:val="003B2238"/>
    <w:rsid w:val="003B3C1D"/>
    <w:rsid w:val="003C01B8"/>
    <w:rsid w:val="00440A64"/>
    <w:rsid w:val="00471B39"/>
    <w:rsid w:val="004B1876"/>
    <w:rsid w:val="004F2F51"/>
    <w:rsid w:val="005D3DF7"/>
    <w:rsid w:val="006211DC"/>
    <w:rsid w:val="00643DE1"/>
    <w:rsid w:val="006612F2"/>
    <w:rsid w:val="00663EF5"/>
    <w:rsid w:val="00667A2C"/>
    <w:rsid w:val="0067758F"/>
    <w:rsid w:val="006B029E"/>
    <w:rsid w:val="006C04ED"/>
    <w:rsid w:val="00751F4F"/>
    <w:rsid w:val="007560FE"/>
    <w:rsid w:val="007736ED"/>
    <w:rsid w:val="00791E2A"/>
    <w:rsid w:val="007B2AEC"/>
    <w:rsid w:val="008025C0"/>
    <w:rsid w:val="008042E6"/>
    <w:rsid w:val="00805DBD"/>
    <w:rsid w:val="00867B1F"/>
    <w:rsid w:val="008761F9"/>
    <w:rsid w:val="008B0A46"/>
    <w:rsid w:val="008C262C"/>
    <w:rsid w:val="008D74F0"/>
    <w:rsid w:val="009026D9"/>
    <w:rsid w:val="00922352"/>
    <w:rsid w:val="00981CDD"/>
    <w:rsid w:val="00A05AEA"/>
    <w:rsid w:val="00A35B2C"/>
    <w:rsid w:val="00A43C2A"/>
    <w:rsid w:val="00A62738"/>
    <w:rsid w:val="00A72537"/>
    <w:rsid w:val="00AC4200"/>
    <w:rsid w:val="00AD0B4D"/>
    <w:rsid w:val="00AE24BE"/>
    <w:rsid w:val="00AE530A"/>
    <w:rsid w:val="00AF0E6C"/>
    <w:rsid w:val="00AF478D"/>
    <w:rsid w:val="00B04CF2"/>
    <w:rsid w:val="00B07711"/>
    <w:rsid w:val="00B24919"/>
    <w:rsid w:val="00B37AF3"/>
    <w:rsid w:val="00B55665"/>
    <w:rsid w:val="00B9493C"/>
    <w:rsid w:val="00BB51B2"/>
    <w:rsid w:val="00BC7B09"/>
    <w:rsid w:val="00BD72CC"/>
    <w:rsid w:val="00C76693"/>
    <w:rsid w:val="00CC1AFF"/>
    <w:rsid w:val="00CD54D3"/>
    <w:rsid w:val="00D46ECF"/>
    <w:rsid w:val="00DC2281"/>
    <w:rsid w:val="00E0602A"/>
    <w:rsid w:val="00E10A4E"/>
    <w:rsid w:val="00E35C21"/>
    <w:rsid w:val="00E617CE"/>
    <w:rsid w:val="00EA4060"/>
    <w:rsid w:val="00EA76F5"/>
    <w:rsid w:val="00EC65FA"/>
    <w:rsid w:val="00F1358D"/>
    <w:rsid w:val="00F2263C"/>
    <w:rsid w:val="00F43946"/>
    <w:rsid w:val="00F552B9"/>
    <w:rsid w:val="00FD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D46ECF"/>
    <w:rPr>
      <w:rFonts w:ascii="Tahoma" w:hAnsi="Tahoma" w:cs="Tahoma"/>
      <w:sz w:val="16"/>
      <w:szCs w:val="16"/>
    </w:rPr>
  </w:style>
  <w:style w:type="character" w:customStyle="1" w:styleId="BalloonTextChar">
    <w:name w:val="Balloon Text Char"/>
    <w:link w:val="BalloonText"/>
    <w:uiPriority w:val="99"/>
    <w:semiHidden/>
    <w:rsid w:val="00D46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MAINE MEDICAL ASSISTANCE MANUAL</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MEDICAL ASSISTANCE MANUAL</dc:title>
  <dc:creator>Brenda Trussel</dc:creator>
  <cp:lastModifiedBy>Wismer, Don</cp:lastModifiedBy>
  <cp:revision>4</cp:revision>
  <cp:lastPrinted>2018-11-06T17:38:00Z</cp:lastPrinted>
  <dcterms:created xsi:type="dcterms:W3CDTF">2019-02-06T19:26:00Z</dcterms:created>
  <dcterms:modified xsi:type="dcterms:W3CDTF">2019-02-06T19:28:00Z</dcterms:modified>
</cp:coreProperties>
</file>